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52B2F7" w14:textId="77777777" w:rsidR="00005F56"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REPUBLIKA HRVATSKA</w:t>
      </w:r>
    </w:p>
    <w:p w14:paraId="13A87CDC" w14:textId="77777777" w:rsidR="00005F56"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GRAD SKRADIN</w:t>
      </w:r>
    </w:p>
    <w:p w14:paraId="41CAB034" w14:textId="77777777" w:rsidR="00005F56" w:rsidRPr="00172B2B" w:rsidRDefault="00005F56">
      <w:pPr>
        <w:rPr>
          <w:rFonts w:ascii="Times New Roman" w:hAnsi="Times New Roman" w:cs="Times New Roman"/>
          <w:sz w:val="24"/>
          <w:szCs w:val="24"/>
        </w:rPr>
      </w:pPr>
    </w:p>
    <w:p w14:paraId="17D6A225" w14:textId="77777777" w:rsidR="00005F56" w:rsidRPr="00172B2B" w:rsidRDefault="00DB045C">
      <w:pPr>
        <w:rPr>
          <w:rFonts w:ascii="Times New Roman" w:hAnsi="Times New Roman" w:cs="Times New Roman"/>
          <w:sz w:val="24"/>
          <w:szCs w:val="24"/>
        </w:rPr>
      </w:pPr>
      <w:r w:rsidRPr="00172B2B">
        <w:rPr>
          <w:rFonts w:ascii="Times New Roman" w:hAnsi="Times New Roman" w:cs="Times New Roman"/>
          <w:sz w:val="24"/>
          <w:szCs w:val="24"/>
        </w:rPr>
        <w:t xml:space="preserve">   </w:t>
      </w:r>
    </w:p>
    <w:p w14:paraId="20172475" w14:textId="77777777" w:rsidR="00005F56" w:rsidRPr="00172B2B" w:rsidRDefault="00DB045C">
      <w:pPr>
        <w:rPr>
          <w:rFonts w:ascii="Times New Roman" w:hAnsi="Times New Roman" w:cs="Times New Roman"/>
          <w:sz w:val="24"/>
          <w:szCs w:val="24"/>
        </w:rPr>
      </w:pPr>
      <w:r w:rsidRPr="00172B2B">
        <w:rPr>
          <w:rFonts w:ascii="Times New Roman" w:eastAsia="Times New Roman" w:hAnsi="Times New Roman" w:cs="Times New Roman"/>
          <w:sz w:val="24"/>
          <w:szCs w:val="24"/>
          <w:lang w:val="en-GB"/>
        </w:rPr>
        <w:t xml:space="preserve">                                                </w:t>
      </w:r>
      <w:r w:rsidRPr="00172B2B">
        <w:rPr>
          <w:rFonts w:ascii="Times New Roman" w:eastAsia="Times New Roman" w:hAnsi="Times New Roman" w:cs="Times New Roman"/>
          <w:sz w:val="24"/>
          <w:szCs w:val="24"/>
          <w:lang w:val="en-GB"/>
        </w:rPr>
        <w:object w:dxaOrig="732" w:dyaOrig="1092" w14:anchorId="260900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pt;height:139.5pt" o:ole="">
            <v:imagedata r:id="rId5" o:title=""/>
          </v:shape>
          <o:OLEObject Type="Embed" ProgID="CorelDRAW.Graphic.13" ShapeID="_x0000_i1025" DrawAspect="Content" ObjectID="_1840265349" r:id="rId6"/>
        </w:object>
      </w:r>
    </w:p>
    <w:p w14:paraId="32DE6D21" w14:textId="77777777" w:rsidR="00005F56" w:rsidRPr="00172B2B" w:rsidRDefault="00005F56">
      <w:pPr>
        <w:rPr>
          <w:rFonts w:ascii="Times New Roman" w:hAnsi="Times New Roman" w:cs="Times New Roman"/>
          <w:sz w:val="24"/>
          <w:szCs w:val="24"/>
        </w:rPr>
      </w:pPr>
    </w:p>
    <w:p w14:paraId="1A0D4F8D" w14:textId="77777777" w:rsidR="00005F56" w:rsidRPr="00172B2B" w:rsidRDefault="00005F56">
      <w:pPr>
        <w:rPr>
          <w:rFonts w:ascii="Times New Roman" w:hAnsi="Times New Roman" w:cs="Times New Roman"/>
          <w:sz w:val="24"/>
          <w:szCs w:val="24"/>
        </w:rPr>
      </w:pPr>
    </w:p>
    <w:p w14:paraId="0BB18F6B" w14:textId="77777777" w:rsidR="00005F56" w:rsidRPr="00172B2B" w:rsidRDefault="00005F56">
      <w:pPr>
        <w:rPr>
          <w:rFonts w:ascii="Times New Roman" w:hAnsi="Times New Roman" w:cs="Times New Roman"/>
          <w:sz w:val="24"/>
          <w:szCs w:val="24"/>
        </w:rPr>
      </w:pPr>
    </w:p>
    <w:p w14:paraId="35D7C261" w14:textId="77777777" w:rsidR="00005F56" w:rsidRPr="00172B2B" w:rsidRDefault="00005F56">
      <w:pPr>
        <w:rPr>
          <w:rFonts w:ascii="Times New Roman" w:hAnsi="Times New Roman" w:cs="Times New Roman"/>
          <w:sz w:val="24"/>
          <w:szCs w:val="24"/>
        </w:rPr>
      </w:pPr>
    </w:p>
    <w:p w14:paraId="3148DA28" w14:textId="77777777" w:rsidR="00005F56" w:rsidRPr="00172B2B" w:rsidRDefault="00005F56">
      <w:pPr>
        <w:rPr>
          <w:rFonts w:ascii="Times New Roman" w:hAnsi="Times New Roman" w:cs="Times New Roman"/>
          <w:sz w:val="24"/>
          <w:szCs w:val="24"/>
        </w:rPr>
      </w:pPr>
    </w:p>
    <w:p w14:paraId="52E5FEFB" w14:textId="77777777" w:rsidR="00005F56"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UPUTE ZA IZRADU FINANCIJSKOG PLANA PRORAČUNSKIH KORISNIKA GRADA SKRADINA</w:t>
      </w:r>
    </w:p>
    <w:p w14:paraId="5C73C3D7" w14:textId="77777777" w:rsidR="00660B55" w:rsidRPr="00172B2B" w:rsidRDefault="00005F56" w:rsidP="00005F56">
      <w:pPr>
        <w:jc w:val="center"/>
        <w:rPr>
          <w:rFonts w:ascii="Times New Roman" w:hAnsi="Times New Roman" w:cs="Times New Roman"/>
          <w:sz w:val="24"/>
          <w:szCs w:val="24"/>
        </w:rPr>
      </w:pPr>
      <w:r w:rsidRPr="00172B2B">
        <w:rPr>
          <w:rFonts w:ascii="Times New Roman" w:hAnsi="Times New Roman" w:cs="Times New Roman"/>
          <w:sz w:val="24"/>
          <w:szCs w:val="24"/>
        </w:rPr>
        <w:t xml:space="preserve"> 202</w:t>
      </w:r>
      <w:r w:rsidR="002B2047" w:rsidRPr="00172B2B">
        <w:rPr>
          <w:rFonts w:ascii="Times New Roman" w:hAnsi="Times New Roman" w:cs="Times New Roman"/>
          <w:sz w:val="24"/>
          <w:szCs w:val="24"/>
        </w:rPr>
        <w:t>6</w:t>
      </w:r>
      <w:r w:rsidR="00C11481" w:rsidRPr="00172B2B">
        <w:rPr>
          <w:rFonts w:ascii="Times New Roman" w:hAnsi="Times New Roman" w:cs="Times New Roman"/>
          <w:sz w:val="24"/>
          <w:szCs w:val="24"/>
        </w:rPr>
        <w:t>.</w:t>
      </w:r>
      <w:r w:rsidRPr="00172B2B">
        <w:rPr>
          <w:rFonts w:ascii="Times New Roman" w:hAnsi="Times New Roman" w:cs="Times New Roman"/>
          <w:sz w:val="24"/>
          <w:szCs w:val="24"/>
        </w:rPr>
        <w:t>-202</w:t>
      </w:r>
      <w:r w:rsidR="002B2047" w:rsidRPr="00172B2B">
        <w:rPr>
          <w:rFonts w:ascii="Times New Roman" w:hAnsi="Times New Roman" w:cs="Times New Roman"/>
          <w:sz w:val="24"/>
          <w:szCs w:val="24"/>
        </w:rPr>
        <w:t>8</w:t>
      </w:r>
      <w:r w:rsidR="00C11481" w:rsidRPr="00172B2B">
        <w:rPr>
          <w:rFonts w:ascii="Times New Roman" w:hAnsi="Times New Roman" w:cs="Times New Roman"/>
          <w:sz w:val="24"/>
          <w:szCs w:val="24"/>
        </w:rPr>
        <w:t>.</w:t>
      </w:r>
    </w:p>
    <w:p w14:paraId="602CF515" w14:textId="77777777" w:rsidR="00005F56" w:rsidRPr="00172B2B" w:rsidRDefault="00005F56">
      <w:pPr>
        <w:rPr>
          <w:rFonts w:ascii="Times New Roman" w:hAnsi="Times New Roman" w:cs="Times New Roman"/>
          <w:sz w:val="24"/>
          <w:szCs w:val="24"/>
        </w:rPr>
      </w:pPr>
    </w:p>
    <w:p w14:paraId="37C308A3" w14:textId="77777777" w:rsidR="00005F56" w:rsidRPr="00172B2B" w:rsidRDefault="00005F56">
      <w:pPr>
        <w:rPr>
          <w:rFonts w:ascii="Times New Roman" w:hAnsi="Times New Roman" w:cs="Times New Roman"/>
          <w:sz w:val="24"/>
          <w:szCs w:val="24"/>
        </w:rPr>
      </w:pPr>
    </w:p>
    <w:p w14:paraId="502F1F2B" w14:textId="77777777" w:rsidR="00005F56" w:rsidRPr="00172B2B" w:rsidRDefault="00005F56">
      <w:pPr>
        <w:rPr>
          <w:rFonts w:ascii="Times New Roman" w:hAnsi="Times New Roman" w:cs="Times New Roman"/>
          <w:sz w:val="24"/>
          <w:szCs w:val="24"/>
        </w:rPr>
      </w:pPr>
    </w:p>
    <w:p w14:paraId="3ACB992D" w14:textId="77777777" w:rsidR="00005F56" w:rsidRPr="00172B2B" w:rsidRDefault="00005F56">
      <w:pPr>
        <w:rPr>
          <w:rFonts w:ascii="Times New Roman" w:hAnsi="Times New Roman" w:cs="Times New Roman"/>
          <w:sz w:val="24"/>
          <w:szCs w:val="24"/>
        </w:rPr>
      </w:pPr>
    </w:p>
    <w:p w14:paraId="2FC0240C" w14:textId="77777777" w:rsidR="00005F56" w:rsidRPr="00172B2B" w:rsidRDefault="00005F56">
      <w:pPr>
        <w:rPr>
          <w:rFonts w:ascii="Times New Roman" w:hAnsi="Times New Roman" w:cs="Times New Roman"/>
          <w:sz w:val="24"/>
          <w:szCs w:val="24"/>
        </w:rPr>
      </w:pPr>
    </w:p>
    <w:p w14:paraId="7933ABE2" w14:textId="77777777" w:rsidR="00005F56" w:rsidRPr="00172B2B" w:rsidRDefault="00005F56">
      <w:pPr>
        <w:rPr>
          <w:rFonts w:ascii="Times New Roman" w:hAnsi="Times New Roman" w:cs="Times New Roman"/>
          <w:sz w:val="24"/>
          <w:szCs w:val="24"/>
        </w:rPr>
      </w:pPr>
    </w:p>
    <w:p w14:paraId="4E5600E6" w14:textId="77777777" w:rsidR="00005F56" w:rsidRPr="00172B2B" w:rsidRDefault="00005F56">
      <w:pPr>
        <w:rPr>
          <w:rFonts w:ascii="Times New Roman" w:hAnsi="Times New Roman" w:cs="Times New Roman"/>
          <w:sz w:val="24"/>
          <w:szCs w:val="24"/>
        </w:rPr>
      </w:pPr>
    </w:p>
    <w:p w14:paraId="546D64E0" w14:textId="77777777" w:rsidR="00005F56" w:rsidRPr="00172B2B" w:rsidRDefault="00005F56">
      <w:pPr>
        <w:rPr>
          <w:rFonts w:ascii="Times New Roman" w:hAnsi="Times New Roman" w:cs="Times New Roman"/>
          <w:sz w:val="24"/>
          <w:szCs w:val="24"/>
        </w:rPr>
      </w:pPr>
    </w:p>
    <w:p w14:paraId="03C3BFBE" w14:textId="77777777" w:rsidR="00005F56" w:rsidRPr="00172B2B" w:rsidRDefault="00005F56">
      <w:pPr>
        <w:rPr>
          <w:rFonts w:ascii="Times New Roman" w:hAnsi="Times New Roman" w:cs="Times New Roman"/>
          <w:sz w:val="24"/>
          <w:szCs w:val="24"/>
        </w:rPr>
      </w:pPr>
    </w:p>
    <w:p w14:paraId="079F91C0" w14:textId="77777777" w:rsidR="00DB045C" w:rsidRPr="00172B2B" w:rsidRDefault="00DB045C">
      <w:pPr>
        <w:rPr>
          <w:rFonts w:ascii="Times New Roman" w:hAnsi="Times New Roman" w:cs="Times New Roman"/>
          <w:sz w:val="24"/>
          <w:szCs w:val="24"/>
        </w:rPr>
      </w:pPr>
    </w:p>
    <w:p w14:paraId="0FA72F4C" w14:textId="77777777" w:rsidR="00005F56" w:rsidRPr="00172B2B" w:rsidRDefault="00005F56">
      <w:pPr>
        <w:rPr>
          <w:rFonts w:ascii="Times New Roman" w:hAnsi="Times New Roman" w:cs="Times New Roman"/>
          <w:sz w:val="24"/>
          <w:szCs w:val="24"/>
        </w:rPr>
      </w:pPr>
    </w:p>
    <w:p w14:paraId="1BCE2119" w14:textId="77777777" w:rsidR="00005F56" w:rsidRPr="00172B2B" w:rsidRDefault="00005F56" w:rsidP="00DB045C">
      <w:pPr>
        <w:jc w:val="center"/>
        <w:rPr>
          <w:rFonts w:ascii="Times New Roman" w:hAnsi="Times New Roman" w:cs="Times New Roman"/>
          <w:sz w:val="24"/>
          <w:szCs w:val="24"/>
        </w:rPr>
      </w:pPr>
      <w:r w:rsidRPr="00172B2B">
        <w:rPr>
          <w:rFonts w:ascii="Times New Roman" w:hAnsi="Times New Roman" w:cs="Times New Roman"/>
          <w:sz w:val="24"/>
          <w:szCs w:val="24"/>
        </w:rPr>
        <w:t xml:space="preserve">Skradin, </w:t>
      </w:r>
      <w:r w:rsidR="002B2047" w:rsidRPr="00172B2B">
        <w:rPr>
          <w:rFonts w:ascii="Times New Roman" w:hAnsi="Times New Roman" w:cs="Times New Roman"/>
          <w:sz w:val="24"/>
          <w:szCs w:val="24"/>
        </w:rPr>
        <w:t>listopad</w:t>
      </w:r>
      <w:r w:rsidRPr="00172B2B">
        <w:rPr>
          <w:rFonts w:ascii="Times New Roman" w:hAnsi="Times New Roman" w:cs="Times New Roman"/>
          <w:sz w:val="24"/>
          <w:szCs w:val="24"/>
        </w:rPr>
        <w:t xml:space="preserve"> 202</w:t>
      </w:r>
      <w:r w:rsidR="002B2047" w:rsidRPr="00172B2B">
        <w:rPr>
          <w:rFonts w:ascii="Times New Roman" w:hAnsi="Times New Roman" w:cs="Times New Roman"/>
          <w:sz w:val="24"/>
          <w:szCs w:val="24"/>
        </w:rPr>
        <w:t>5</w:t>
      </w:r>
      <w:r w:rsidR="00DB045C" w:rsidRPr="00172B2B">
        <w:rPr>
          <w:rFonts w:ascii="Times New Roman" w:hAnsi="Times New Roman" w:cs="Times New Roman"/>
          <w:sz w:val="24"/>
          <w:szCs w:val="24"/>
        </w:rPr>
        <w:t>.</w:t>
      </w:r>
    </w:p>
    <w:p w14:paraId="4DD86F2F" w14:textId="77777777" w:rsidR="00005F56" w:rsidRPr="00172B2B" w:rsidRDefault="00CF2968" w:rsidP="002B2047">
      <w:pPr>
        <w:jc w:val="center"/>
        <w:rPr>
          <w:rFonts w:ascii="Times New Roman" w:hAnsi="Times New Roman" w:cs="Times New Roman"/>
          <w:b/>
          <w:bCs/>
          <w:sz w:val="24"/>
          <w:szCs w:val="24"/>
        </w:rPr>
      </w:pPr>
      <w:r w:rsidRPr="00172B2B">
        <w:rPr>
          <w:rFonts w:ascii="Times New Roman" w:hAnsi="Times New Roman" w:cs="Times New Roman"/>
          <w:b/>
          <w:bCs/>
          <w:sz w:val="24"/>
          <w:szCs w:val="24"/>
        </w:rPr>
        <w:lastRenderedPageBreak/>
        <w:t>UVOD</w:t>
      </w:r>
    </w:p>
    <w:p w14:paraId="032E3346"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proces u Republici Hrvatskoj uređen je odredbama Zakona o proračunu (Narodne novine br. 144/21, dalje u tekstu Zakon) kako na državnoj tako i na lokalnoj razini.</w:t>
      </w:r>
    </w:p>
    <w:p w14:paraId="1E71A5B3"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08EE9063"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Punopravnim članstvom u Europskoj uniji Republika Hrvatska ima obvezu sudjelovanja u</w:t>
      </w:r>
    </w:p>
    <w:p w14:paraId="4325CD9A"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Europskom semestru stoga je odredbama Zakona, u sklopu proračunskog procesa, predviđena i izrada dokumenata koje su Europskoj komisiji obvezne dostaviti sve zemlje članice Europske unije.</w:t>
      </w:r>
    </w:p>
    <w:p w14:paraId="1C4D6A29"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60EE58DF"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Sukladno Zakonu, proračunski proces započinje već u travnju izradom Nacionalnog programa</w:t>
      </w:r>
    </w:p>
    <w:p w14:paraId="32D442C5"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reformi i Programa konvergencije koji su akti Europskog semestra. Na temelju Programa</w:t>
      </w:r>
    </w:p>
    <w:p w14:paraId="14125EA7"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konvergencije koji obuhvaća okvir i ciljeve ekonomske politike, makroekonomska i fiskalna</w:t>
      </w:r>
    </w:p>
    <w:p w14:paraId="1FC5F367"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kretanja te ključne strukturne reforme za srednjoročno razdoblje Ministarstvo financija izrađuje odluku o proračunskom okviru za trogodišnje razdoblje koju Vlada usvaja najkasnije do 30. lipnja tekuće godine. Odluka je podloga za izradu prijedloga državnog proračuna za trogodišnje razdoblje koji do 15. studenog treba biti upućen predstavničkom tijelu na usvajanje.</w:t>
      </w:r>
    </w:p>
    <w:p w14:paraId="08177BE1"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07F828D4"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Temeljem usvojenih akata Vlade Republike Hrvatske (u daljnjem tekstu: Vlada), Ministarstvo</w:t>
      </w:r>
    </w:p>
    <w:p w14:paraId="5643086F"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financija sastavlja Uputu za izradu državnog proračuna i Uputu za izradu proračuna jedinica</w:t>
      </w:r>
    </w:p>
    <w:p w14:paraId="64A765BC"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lokalne i područne (regionalne) samouprave (u daljnjem tekstu: Uputa).</w:t>
      </w:r>
    </w:p>
    <w:p w14:paraId="04F6CE38"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0B51E38F"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 xml:space="preserve">Na vremenski horizont izrade ovogodišnje Upute utjecalo je donošenje odluka Vijeća Europske unije vezanu uz revidiranje prioriteta kohezijske politike. Naime, Vijeće Europske unije 18. rujna 2025. odobrilo je promjene propisa koji reguliraju kohezijsku politiku kako bi se olakšalo preusmjeravanje tih sredstava u nove prioritete, posebice u obranu, sigurnost, civilnu zaštitu, održivo upravljanje vodama, pristupačno stanovanje, konkurentnost i </w:t>
      </w:r>
      <w:proofErr w:type="spellStart"/>
      <w:r w:rsidRPr="00172B2B">
        <w:rPr>
          <w:rFonts w:ascii="Times New Roman" w:hAnsi="Times New Roman" w:cs="Times New Roman"/>
          <w:sz w:val="24"/>
          <w:szCs w:val="24"/>
        </w:rPr>
        <w:t>dekarbonizaciju</w:t>
      </w:r>
      <w:proofErr w:type="spellEnd"/>
      <w:r w:rsidRPr="00172B2B">
        <w:rPr>
          <w:rFonts w:ascii="Times New Roman" w:hAnsi="Times New Roman" w:cs="Times New Roman"/>
          <w:sz w:val="24"/>
          <w:szCs w:val="24"/>
        </w:rPr>
        <w:t xml:space="preserve"> te energetsku tranziciju. Promjene obuhvaćaju uredbe o Europskom fondu za regionalni razvoj (EFRR) i Kohezijskom fondu te o Fondu za pravednu tranziciju (FPT) i Uredbu o Europskom socijalnom fondu plus (ESF+). Slijedom navedenog, poseban naglasak kod izrade proračuna za razdoblje 2026. – 2028. stavlja se upravo na preusmjeravanje financiranja provedbe projekata sa nacionalnih izvora na EU bespovratne izvore financiranja.</w:t>
      </w:r>
    </w:p>
    <w:p w14:paraId="5F9394AD" w14:textId="77777777" w:rsidR="002B2047" w:rsidRPr="00172B2B" w:rsidRDefault="002B2047" w:rsidP="002B2047">
      <w:pPr>
        <w:autoSpaceDE w:val="0"/>
        <w:autoSpaceDN w:val="0"/>
        <w:adjustRightInd w:val="0"/>
        <w:spacing w:after="0" w:line="240" w:lineRule="auto"/>
        <w:rPr>
          <w:rFonts w:ascii="Times New Roman" w:hAnsi="Times New Roman" w:cs="Times New Roman"/>
          <w:sz w:val="24"/>
          <w:szCs w:val="24"/>
        </w:rPr>
      </w:pPr>
    </w:p>
    <w:p w14:paraId="3BBBA5BD" w14:textId="4FC5E70A" w:rsidR="00E16180" w:rsidRPr="00172B2B" w:rsidRDefault="00E16180" w:rsidP="00E16180">
      <w:pPr>
        <w:widowControl w:val="0"/>
        <w:numPr>
          <w:ilvl w:val="0"/>
          <w:numId w:val="7"/>
        </w:numPr>
        <w:tabs>
          <w:tab w:val="left" w:pos="503"/>
          <w:tab w:val="left" w:pos="862"/>
          <w:tab w:val="left" w:pos="2257"/>
          <w:tab w:val="left" w:pos="4758"/>
          <w:tab w:val="left" w:pos="6776"/>
          <w:tab w:val="left" w:pos="7293"/>
          <w:tab w:val="left" w:pos="8350"/>
        </w:tabs>
        <w:autoSpaceDE w:val="0"/>
        <w:autoSpaceDN w:val="0"/>
        <w:spacing w:before="81" w:after="0" w:line="240" w:lineRule="auto"/>
        <w:ind w:right="133"/>
        <w:outlineLvl w:val="0"/>
        <w:rPr>
          <w:rFonts w:ascii="Times New Roman" w:eastAsia="Arial" w:hAnsi="Times New Roman" w:cs="Times New Roman"/>
          <w:b/>
          <w:bCs/>
          <w:sz w:val="24"/>
          <w:szCs w:val="24"/>
          <w:lang w:val="bs"/>
        </w:rPr>
      </w:pPr>
      <w:r w:rsidRPr="00172B2B">
        <w:rPr>
          <w:rFonts w:ascii="Times New Roman" w:eastAsia="Arial" w:hAnsi="Times New Roman" w:cs="Times New Roman"/>
          <w:b/>
          <w:bCs/>
          <w:spacing w:val="-2"/>
          <w:sz w:val="24"/>
          <w:szCs w:val="24"/>
          <w:lang w:val="bs"/>
        </w:rPr>
        <w:t>TEMELJNE</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2"/>
          <w:sz w:val="24"/>
          <w:szCs w:val="24"/>
          <w:lang w:val="bs"/>
        </w:rPr>
        <w:t>MAKROEKONOMSKE</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2"/>
          <w:sz w:val="24"/>
          <w:szCs w:val="24"/>
          <w:lang w:val="bs"/>
        </w:rPr>
        <w:t>PRETPOSTAVKE</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6"/>
          <w:sz w:val="24"/>
          <w:szCs w:val="24"/>
          <w:lang w:val="bs"/>
        </w:rPr>
        <w:t>ZA</w:t>
      </w:r>
      <w:r w:rsidR="00172B2B">
        <w:rPr>
          <w:rFonts w:ascii="Times New Roman" w:eastAsia="Arial" w:hAnsi="Times New Roman" w:cs="Times New Roman"/>
          <w:b/>
          <w:bCs/>
          <w:sz w:val="24"/>
          <w:szCs w:val="24"/>
          <w:lang w:val="bs"/>
        </w:rPr>
        <w:t xml:space="preserve"> </w:t>
      </w:r>
      <w:r w:rsidRPr="00172B2B">
        <w:rPr>
          <w:rFonts w:ascii="Times New Roman" w:eastAsia="Arial" w:hAnsi="Times New Roman" w:cs="Times New Roman"/>
          <w:b/>
          <w:bCs/>
          <w:spacing w:val="-2"/>
          <w:sz w:val="24"/>
          <w:szCs w:val="24"/>
          <w:lang w:val="bs"/>
        </w:rPr>
        <w:t>IZRADU</w:t>
      </w:r>
      <w:r w:rsidRPr="00172B2B">
        <w:rPr>
          <w:rFonts w:ascii="Times New Roman" w:eastAsia="Arial" w:hAnsi="Times New Roman" w:cs="Times New Roman"/>
          <w:b/>
          <w:bCs/>
          <w:sz w:val="24"/>
          <w:szCs w:val="24"/>
          <w:lang w:val="bs"/>
        </w:rPr>
        <w:tab/>
      </w:r>
      <w:r w:rsidRPr="00172B2B">
        <w:rPr>
          <w:rFonts w:ascii="Times New Roman" w:eastAsia="Arial" w:hAnsi="Times New Roman" w:cs="Times New Roman"/>
          <w:b/>
          <w:bCs/>
          <w:spacing w:val="-2"/>
          <w:sz w:val="24"/>
          <w:szCs w:val="24"/>
          <w:lang w:val="bs"/>
        </w:rPr>
        <w:t xml:space="preserve">PRIJEDLOGA </w:t>
      </w:r>
      <w:r w:rsidRPr="00172B2B">
        <w:rPr>
          <w:rFonts w:ascii="Times New Roman" w:eastAsia="Arial" w:hAnsi="Times New Roman" w:cs="Times New Roman"/>
          <w:b/>
          <w:bCs/>
          <w:sz w:val="24"/>
          <w:szCs w:val="24"/>
          <w:lang w:val="bs"/>
        </w:rPr>
        <w:t>PRORAČUNA GRADA SKRADINA</w:t>
      </w:r>
    </w:p>
    <w:p w14:paraId="28D204ED" w14:textId="77777777" w:rsidR="00E16180" w:rsidRPr="00172B2B" w:rsidRDefault="00E16180" w:rsidP="00E16180">
      <w:pPr>
        <w:widowControl w:val="0"/>
        <w:tabs>
          <w:tab w:val="left" w:pos="503"/>
          <w:tab w:val="left" w:pos="862"/>
          <w:tab w:val="left" w:pos="2257"/>
          <w:tab w:val="left" w:pos="4758"/>
          <w:tab w:val="left" w:pos="6776"/>
          <w:tab w:val="left" w:pos="7293"/>
          <w:tab w:val="left" w:pos="8350"/>
        </w:tabs>
        <w:autoSpaceDE w:val="0"/>
        <w:autoSpaceDN w:val="0"/>
        <w:spacing w:before="81" w:after="0" w:line="240" w:lineRule="auto"/>
        <w:ind w:left="720" w:right="133"/>
        <w:outlineLvl w:val="0"/>
        <w:rPr>
          <w:rFonts w:ascii="Times New Roman" w:eastAsia="Arial" w:hAnsi="Times New Roman" w:cs="Times New Roman"/>
          <w:b/>
          <w:bCs/>
          <w:sz w:val="24"/>
          <w:szCs w:val="24"/>
          <w:lang w:val="bs"/>
        </w:rPr>
      </w:pPr>
    </w:p>
    <w:p w14:paraId="1C13B398"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Vlada je na sjednici održanoj 27. lipnja 2025. usvojila Odluku o proračunskom okviru za</w:t>
      </w:r>
    </w:p>
    <w:p w14:paraId="3ADD8A3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razdoblje 2026. - 2028. kojom je utvrđena visina rashoda koji se financiraju iz općih prihoda i</w:t>
      </w:r>
    </w:p>
    <w:p w14:paraId="600D0C97"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primitaka, doprinosa i namjenskih primitaka po razdjelima organizacijske klasifikacije te visina manjka, odnosno viška izvanproračunskih korisnika državnog proračuna za razdoblje 2026. –2028.</w:t>
      </w:r>
    </w:p>
    <w:p w14:paraId="6FA8F32A"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3F858B31"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Temeljem Okvira za ekonomsko upravljanje Europskom unijom koji je stupio na snagu 30.</w:t>
      </w:r>
    </w:p>
    <w:p w14:paraId="0139B73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travnja 2024. godine, u studenom 2024. Republika Hrvatska izradila je i dostavila Europskoj</w:t>
      </w:r>
    </w:p>
    <w:p w14:paraId="1E3749DF"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4 komisiji Nacionalni srednjoročni fiskalno-strukturni plan za razdoblje 2025.-2028. U svibnju</w:t>
      </w:r>
    </w:p>
    <w:p w14:paraId="4A19B805"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2025. godine Republika Hrvatska je izradila i godišnje Izvješće o napretku u provedbi Nacionalnog srednjoročnog fiskalno-strukturnog plana Republike Hrvatske (za 2024. i 2025. godinu).</w:t>
      </w:r>
    </w:p>
    <w:p w14:paraId="57B56C26"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6602C52B"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Sve navedeno predstavljalo je temelj za ocjenu i preporuke Europske komisije u svrhu</w:t>
      </w:r>
    </w:p>
    <w:p w14:paraId="1352FAE2"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unapređenja hrvatskog gospodarstva u okviru Proljetnog paketa Europskog semestra</w:t>
      </w:r>
    </w:p>
    <w:p w14:paraId="716F7808"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objavljenog početkom lipnja 2025. On uključuje Specifične preporuke Vijeća EU za Republiku</w:t>
      </w:r>
    </w:p>
    <w:p w14:paraId="5C5CB321"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Hrvatsku koje je potrebno provoditi kroz proračunske politike u sljedećih godinu dana. Ovdje</w:t>
      </w:r>
    </w:p>
    <w:p w14:paraId="6B50EC4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je posebice istaknuta važnost poštivanja fiskalne održivosti, povećanih izdvajanja za obranu te ubrzanja provedbe Plana za oporavak i otpornost kao i kohezijskih fondova. Nadalje, potiče se energetska učinkovitost, konsolidacija politike obrazovanja, istraživanja i inovacija, jačanje politika tržišta rada te jačanje adekvatnosti socijalnih naknada i mirovina, vodeći istovremeno računa o fiskalnoj održivosti.</w:t>
      </w:r>
    </w:p>
    <w:p w14:paraId="1A8634B8"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29A13C4E"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 xml:space="preserve">U tom smislu, ova Odluka je sastavni dio procesa izrade Nacrta proračunskog plana Republike Hrvatske za 2026. godinu koji će Vlada usvojiti krajem listopada 2025. godine te dostaviti EU u svojstvu punopravne članice </w:t>
      </w:r>
      <w:proofErr w:type="spellStart"/>
      <w:r w:rsidRPr="00172B2B">
        <w:rPr>
          <w:rFonts w:ascii="Times New Roman" w:hAnsi="Times New Roman" w:cs="Times New Roman"/>
          <w:sz w:val="24"/>
          <w:szCs w:val="24"/>
        </w:rPr>
        <w:t>europodručja</w:t>
      </w:r>
      <w:proofErr w:type="spellEnd"/>
      <w:r w:rsidRPr="00172B2B">
        <w:rPr>
          <w:rFonts w:ascii="Times New Roman" w:hAnsi="Times New Roman" w:cs="Times New Roman"/>
          <w:sz w:val="24"/>
          <w:szCs w:val="24"/>
        </w:rPr>
        <w:t>. U spomenutom dokumentu bit će predstavljene službene makroekonomske i fiskalne projekcije za 2025. i 2026. godinu, a što će biti osnova za pripremu proračuna i za razdoblje 2026. – 2028.</w:t>
      </w:r>
    </w:p>
    <w:p w14:paraId="29933E6D"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10CE9705" w14:textId="77777777" w:rsidR="00E16180" w:rsidRPr="00172B2B" w:rsidRDefault="00E16180" w:rsidP="003F4BAD">
      <w:pPr>
        <w:pStyle w:val="Odlomakpopisa"/>
        <w:widowControl w:val="0"/>
        <w:numPr>
          <w:ilvl w:val="0"/>
          <w:numId w:val="7"/>
        </w:numPr>
        <w:tabs>
          <w:tab w:val="left" w:pos="862"/>
        </w:tabs>
        <w:autoSpaceDE w:val="0"/>
        <w:autoSpaceDN w:val="0"/>
        <w:spacing w:before="81" w:after="0" w:line="240" w:lineRule="auto"/>
        <w:outlineLvl w:val="0"/>
        <w:rPr>
          <w:rFonts w:ascii="Times New Roman" w:eastAsia="Arial" w:hAnsi="Times New Roman" w:cs="Times New Roman"/>
          <w:b/>
          <w:bCs/>
          <w:sz w:val="24"/>
          <w:szCs w:val="24"/>
          <w:lang w:val="bs"/>
        </w:rPr>
      </w:pPr>
      <w:bookmarkStart w:id="0" w:name="_TOC_250010"/>
      <w:r w:rsidRPr="00172B2B">
        <w:rPr>
          <w:rFonts w:ascii="Times New Roman" w:eastAsia="Arial" w:hAnsi="Times New Roman" w:cs="Times New Roman"/>
          <w:b/>
          <w:bCs/>
          <w:sz w:val="24"/>
          <w:szCs w:val="24"/>
          <w:lang w:val="bs"/>
        </w:rPr>
        <w:t>OPIS</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PLANIRANIH</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POLITIKA</w:t>
      </w:r>
      <w:r w:rsidRPr="00172B2B">
        <w:rPr>
          <w:rFonts w:ascii="Times New Roman" w:eastAsia="Arial" w:hAnsi="Times New Roman" w:cs="Times New Roman"/>
          <w:b/>
          <w:bCs/>
          <w:spacing w:val="-8"/>
          <w:sz w:val="24"/>
          <w:szCs w:val="24"/>
          <w:lang w:val="bs"/>
        </w:rPr>
        <w:t xml:space="preserve"> </w:t>
      </w:r>
      <w:r w:rsidRPr="00172B2B">
        <w:rPr>
          <w:rFonts w:ascii="Times New Roman" w:eastAsia="Arial" w:hAnsi="Times New Roman" w:cs="Times New Roman"/>
          <w:b/>
          <w:bCs/>
          <w:sz w:val="24"/>
          <w:szCs w:val="24"/>
          <w:lang w:val="bs"/>
        </w:rPr>
        <w:t>GRADA</w:t>
      </w:r>
      <w:r w:rsidRPr="00172B2B">
        <w:rPr>
          <w:rFonts w:ascii="Times New Roman" w:eastAsia="Arial" w:hAnsi="Times New Roman" w:cs="Times New Roman"/>
          <w:b/>
          <w:bCs/>
          <w:spacing w:val="-7"/>
          <w:sz w:val="24"/>
          <w:szCs w:val="24"/>
          <w:lang w:val="bs"/>
        </w:rPr>
        <w:t xml:space="preserve"> </w:t>
      </w:r>
      <w:bookmarkEnd w:id="0"/>
      <w:r w:rsidRPr="00172B2B">
        <w:rPr>
          <w:rFonts w:ascii="Times New Roman" w:eastAsia="Arial" w:hAnsi="Times New Roman" w:cs="Times New Roman"/>
          <w:b/>
          <w:bCs/>
          <w:spacing w:val="-2"/>
          <w:sz w:val="24"/>
          <w:szCs w:val="24"/>
          <w:lang w:val="bs"/>
        </w:rPr>
        <w:t>SKRADINA ZA RAZDOBLJE 2026.-2028.</w:t>
      </w:r>
    </w:p>
    <w:p w14:paraId="60844FDD" w14:textId="77777777" w:rsidR="00E16180" w:rsidRPr="00172B2B" w:rsidRDefault="00E16180" w:rsidP="00E16180">
      <w:pPr>
        <w:widowControl w:val="0"/>
        <w:autoSpaceDE w:val="0"/>
        <w:autoSpaceDN w:val="0"/>
        <w:spacing w:before="2" w:after="0" w:line="240" w:lineRule="auto"/>
        <w:rPr>
          <w:rFonts w:ascii="Times New Roman" w:eastAsia="Arial" w:hAnsi="Times New Roman" w:cs="Times New Roman"/>
          <w:b/>
          <w:sz w:val="24"/>
          <w:szCs w:val="24"/>
          <w:lang w:val="bs"/>
        </w:rPr>
      </w:pPr>
    </w:p>
    <w:p w14:paraId="4EF8C234" w14:textId="77777777" w:rsidR="003F4BAD" w:rsidRPr="00172B2B" w:rsidRDefault="00E16180" w:rsidP="003F4BAD">
      <w:pPr>
        <w:widowControl w:val="0"/>
        <w:autoSpaceDE w:val="0"/>
        <w:autoSpaceDN w:val="0"/>
        <w:spacing w:after="0" w:line="240" w:lineRule="auto"/>
        <w:ind w:left="143" w:right="136"/>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Grad Skradin planira donijeti Strategiju razvoja u sljedećem proračunskom razdoblju od 2026. – 2028. godine</w:t>
      </w:r>
    </w:p>
    <w:p w14:paraId="383F1477" w14:textId="77777777" w:rsidR="00E16180" w:rsidRPr="00172B2B" w:rsidRDefault="00E16180" w:rsidP="00E16180">
      <w:pPr>
        <w:widowControl w:val="0"/>
        <w:autoSpaceDE w:val="0"/>
        <w:autoSpaceDN w:val="0"/>
        <w:spacing w:after="0" w:line="240" w:lineRule="auto"/>
        <w:rPr>
          <w:rFonts w:ascii="Times New Roman" w:eastAsia="Arial" w:hAnsi="Times New Roman" w:cs="Times New Roman"/>
          <w:b/>
          <w:color w:val="EE0000"/>
          <w:sz w:val="24"/>
          <w:szCs w:val="24"/>
          <w:lang w:val="bs"/>
        </w:rPr>
      </w:pPr>
    </w:p>
    <w:p w14:paraId="6700EF52" w14:textId="77777777" w:rsidR="00E16180" w:rsidRPr="00172B2B" w:rsidRDefault="00E16180" w:rsidP="003F4BAD">
      <w:pPr>
        <w:widowControl w:val="0"/>
        <w:autoSpaceDE w:val="0"/>
        <w:autoSpaceDN w:val="0"/>
        <w:spacing w:after="0" w:line="240" w:lineRule="auto"/>
        <w:ind w:left="143" w:right="137"/>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Strategija razvoja predstavlja okosnicu i okvir budućih ulaganja koja se sufinanciraju iz EU fondova putem mehanizma Integriranih teritorijalnih ulaganja (ITU mehanizma). ITU mehanizam je uvela Europska unija s ciljem jačanja uloge gradova kao</w:t>
      </w:r>
      <w:r w:rsidRPr="00172B2B">
        <w:rPr>
          <w:rFonts w:ascii="Times New Roman" w:eastAsia="Arial" w:hAnsi="Times New Roman" w:cs="Times New Roman"/>
          <w:spacing w:val="40"/>
          <w:sz w:val="24"/>
          <w:szCs w:val="24"/>
          <w:lang w:val="bs"/>
        </w:rPr>
        <w:t xml:space="preserve"> </w:t>
      </w:r>
      <w:r w:rsidRPr="00172B2B">
        <w:rPr>
          <w:rFonts w:ascii="Times New Roman" w:eastAsia="Arial" w:hAnsi="Times New Roman" w:cs="Times New Roman"/>
          <w:sz w:val="24"/>
          <w:szCs w:val="24"/>
          <w:lang w:val="bs"/>
        </w:rPr>
        <w:t>pokretača gospodarskog razvoja. Mehanizam služi za provedbu aktivnosti održivog urbanog razvoja koje imaju naglašenu teritorijalnu dimenziju te omogućava pružanje financijske potpore za provođenje integriranih aktivnosti.</w:t>
      </w:r>
    </w:p>
    <w:p w14:paraId="29EA11AE" w14:textId="77777777" w:rsidR="003F4BAD" w:rsidRPr="00172B2B" w:rsidRDefault="003F4BAD" w:rsidP="003F4BAD">
      <w:pPr>
        <w:widowControl w:val="0"/>
        <w:autoSpaceDE w:val="0"/>
        <w:autoSpaceDN w:val="0"/>
        <w:spacing w:after="0" w:line="240" w:lineRule="auto"/>
        <w:ind w:left="143" w:right="137" w:firstLine="708"/>
        <w:jc w:val="both"/>
        <w:rPr>
          <w:rFonts w:ascii="Times New Roman" w:eastAsia="Arial" w:hAnsi="Times New Roman" w:cs="Times New Roman"/>
          <w:sz w:val="24"/>
          <w:szCs w:val="24"/>
          <w:lang w:val="bs"/>
        </w:rPr>
      </w:pPr>
    </w:p>
    <w:p w14:paraId="13B5017A" w14:textId="77777777" w:rsidR="003F4BAD" w:rsidRPr="00172B2B" w:rsidRDefault="003F4BAD" w:rsidP="003F4BAD">
      <w:pPr>
        <w:widowControl w:val="0"/>
        <w:autoSpaceDE w:val="0"/>
        <w:autoSpaceDN w:val="0"/>
        <w:spacing w:after="0" w:line="240" w:lineRule="auto"/>
        <w:ind w:left="143" w:right="137" w:firstLine="708"/>
        <w:jc w:val="both"/>
        <w:rPr>
          <w:rFonts w:ascii="Times New Roman" w:eastAsia="Arial" w:hAnsi="Times New Roman" w:cs="Times New Roman"/>
          <w:sz w:val="24"/>
          <w:szCs w:val="24"/>
          <w:lang w:val="bs"/>
        </w:rPr>
      </w:pPr>
    </w:p>
    <w:p w14:paraId="220660D1" w14:textId="77777777" w:rsidR="003F4BAD" w:rsidRPr="00172B2B" w:rsidRDefault="003F4BAD" w:rsidP="003F4BAD">
      <w:pPr>
        <w:pStyle w:val="Odlomakpopisa"/>
        <w:widowControl w:val="0"/>
        <w:numPr>
          <w:ilvl w:val="0"/>
          <w:numId w:val="7"/>
        </w:numPr>
        <w:tabs>
          <w:tab w:val="left" w:pos="503"/>
          <w:tab w:val="left" w:pos="862"/>
        </w:tabs>
        <w:autoSpaceDE w:val="0"/>
        <w:autoSpaceDN w:val="0"/>
        <w:spacing w:before="81" w:after="0" w:line="240" w:lineRule="auto"/>
        <w:ind w:right="137"/>
        <w:jc w:val="both"/>
        <w:outlineLvl w:val="0"/>
        <w:rPr>
          <w:rFonts w:ascii="Times New Roman" w:eastAsia="Arial" w:hAnsi="Times New Roman" w:cs="Times New Roman"/>
          <w:b/>
          <w:bCs/>
          <w:sz w:val="24"/>
          <w:szCs w:val="24"/>
          <w:lang w:val="bs"/>
        </w:rPr>
      </w:pPr>
      <w:r w:rsidRPr="00172B2B">
        <w:rPr>
          <w:rFonts w:ascii="Times New Roman" w:eastAsia="Arial" w:hAnsi="Times New Roman" w:cs="Times New Roman"/>
          <w:b/>
          <w:bCs/>
          <w:sz w:val="24"/>
          <w:szCs w:val="24"/>
          <w:lang w:val="bs"/>
        </w:rPr>
        <w:t>PROCJENA</w:t>
      </w:r>
      <w:r w:rsidRPr="00172B2B">
        <w:rPr>
          <w:rFonts w:ascii="Times New Roman" w:eastAsia="Arial" w:hAnsi="Times New Roman" w:cs="Times New Roman"/>
          <w:b/>
          <w:bCs/>
          <w:spacing w:val="-1"/>
          <w:sz w:val="24"/>
          <w:szCs w:val="24"/>
          <w:lang w:val="bs"/>
        </w:rPr>
        <w:t xml:space="preserve"> </w:t>
      </w:r>
      <w:r w:rsidRPr="00172B2B">
        <w:rPr>
          <w:rFonts w:ascii="Times New Roman" w:eastAsia="Arial" w:hAnsi="Times New Roman" w:cs="Times New Roman"/>
          <w:b/>
          <w:bCs/>
          <w:sz w:val="24"/>
          <w:szCs w:val="24"/>
          <w:lang w:val="bs"/>
        </w:rPr>
        <w:t>PRIHODA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I PRIMITAKA</w:t>
      </w:r>
      <w:r w:rsidRPr="00172B2B">
        <w:rPr>
          <w:rFonts w:ascii="Times New Roman" w:eastAsia="Arial" w:hAnsi="Times New Roman" w:cs="Times New Roman"/>
          <w:b/>
          <w:bCs/>
          <w:spacing w:val="-1"/>
          <w:sz w:val="24"/>
          <w:szCs w:val="24"/>
          <w:lang w:val="bs"/>
        </w:rPr>
        <w:t xml:space="preserve"> </w:t>
      </w:r>
      <w:r w:rsidRPr="00172B2B">
        <w:rPr>
          <w:rFonts w:ascii="Times New Roman" w:eastAsia="Arial" w:hAnsi="Times New Roman" w:cs="Times New Roman"/>
          <w:b/>
          <w:bCs/>
          <w:sz w:val="24"/>
          <w:szCs w:val="24"/>
          <w:lang w:val="bs"/>
        </w:rPr>
        <w:t>TE RASHODA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I IZDATAKA</w:t>
      </w:r>
      <w:r w:rsidRPr="00172B2B">
        <w:rPr>
          <w:rFonts w:ascii="Times New Roman" w:eastAsia="Arial" w:hAnsi="Times New Roman" w:cs="Times New Roman"/>
          <w:b/>
          <w:bCs/>
          <w:spacing w:val="-1"/>
          <w:sz w:val="24"/>
          <w:szCs w:val="24"/>
          <w:lang w:val="bs"/>
        </w:rPr>
        <w:t xml:space="preserve"> </w:t>
      </w:r>
      <w:r w:rsidRPr="00172B2B">
        <w:rPr>
          <w:rFonts w:ascii="Times New Roman" w:eastAsia="Arial" w:hAnsi="Times New Roman" w:cs="Times New Roman"/>
          <w:b/>
          <w:bCs/>
          <w:sz w:val="24"/>
          <w:szCs w:val="24"/>
          <w:lang w:val="bs"/>
        </w:rPr>
        <w:t>PRORAČUNA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GRADA SKRADINA ZA RAZDOBLJE OD 2026.-2028.  GODINE</w:t>
      </w:r>
    </w:p>
    <w:p w14:paraId="69BCEDF1" w14:textId="77777777" w:rsidR="003F4BAD" w:rsidRPr="00172B2B" w:rsidRDefault="003F4BAD" w:rsidP="003F4BAD">
      <w:pPr>
        <w:widowControl w:val="0"/>
        <w:tabs>
          <w:tab w:val="left" w:pos="770"/>
          <w:tab w:val="left" w:pos="935"/>
        </w:tabs>
        <w:autoSpaceDE w:val="0"/>
        <w:autoSpaceDN w:val="0"/>
        <w:spacing w:before="252" w:after="0" w:line="240" w:lineRule="auto"/>
        <w:ind w:right="383"/>
        <w:jc w:val="both"/>
        <w:outlineLvl w:val="1"/>
        <w:rPr>
          <w:rFonts w:ascii="Times New Roman" w:eastAsia="Arial" w:hAnsi="Times New Roman" w:cs="Times New Roman"/>
          <w:b/>
          <w:bCs/>
          <w:sz w:val="24"/>
          <w:szCs w:val="24"/>
          <w:lang w:val="bs"/>
        </w:rPr>
      </w:pPr>
      <w:r w:rsidRPr="00172B2B">
        <w:rPr>
          <w:rFonts w:ascii="Times New Roman" w:eastAsia="Arial" w:hAnsi="Times New Roman" w:cs="Times New Roman"/>
          <w:b/>
          <w:bCs/>
          <w:sz w:val="24"/>
          <w:szCs w:val="24"/>
          <w:lang w:val="bs"/>
        </w:rPr>
        <w:t>Procjena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prihoda</w:t>
      </w:r>
      <w:r w:rsidRPr="00172B2B">
        <w:rPr>
          <w:rFonts w:ascii="Times New Roman" w:eastAsia="Arial" w:hAnsi="Times New Roman" w:cs="Times New Roman"/>
          <w:b/>
          <w:bCs/>
          <w:spacing w:val="-5"/>
          <w:sz w:val="24"/>
          <w:szCs w:val="24"/>
          <w:lang w:val="bs"/>
        </w:rPr>
        <w:t xml:space="preserve"> </w:t>
      </w:r>
      <w:r w:rsidRPr="00172B2B">
        <w:rPr>
          <w:rFonts w:ascii="Times New Roman" w:eastAsia="Arial" w:hAnsi="Times New Roman" w:cs="Times New Roman"/>
          <w:b/>
          <w:bCs/>
          <w:sz w:val="24"/>
          <w:szCs w:val="24"/>
          <w:lang w:val="bs"/>
        </w:rPr>
        <w:t>i</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primitaka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Proračuna</w:t>
      </w:r>
      <w:r w:rsidRPr="00172B2B">
        <w:rPr>
          <w:rFonts w:ascii="Times New Roman" w:eastAsia="Arial" w:hAnsi="Times New Roman" w:cs="Times New Roman"/>
          <w:b/>
          <w:bCs/>
          <w:spacing w:val="-5"/>
          <w:sz w:val="24"/>
          <w:szCs w:val="24"/>
          <w:lang w:val="bs"/>
        </w:rPr>
        <w:t xml:space="preserve"> </w:t>
      </w:r>
      <w:r w:rsidRPr="00172B2B">
        <w:rPr>
          <w:rFonts w:ascii="Times New Roman" w:eastAsia="Arial" w:hAnsi="Times New Roman" w:cs="Times New Roman"/>
          <w:b/>
          <w:bCs/>
          <w:sz w:val="24"/>
          <w:szCs w:val="24"/>
          <w:lang w:val="bs"/>
        </w:rPr>
        <w:t>Grada</w:t>
      </w:r>
      <w:r w:rsidRPr="00172B2B">
        <w:rPr>
          <w:rFonts w:ascii="Times New Roman" w:eastAsia="Arial" w:hAnsi="Times New Roman" w:cs="Times New Roman"/>
          <w:b/>
          <w:bCs/>
          <w:spacing w:val="-4"/>
          <w:sz w:val="24"/>
          <w:szCs w:val="24"/>
          <w:lang w:val="bs"/>
        </w:rPr>
        <w:t xml:space="preserve"> </w:t>
      </w:r>
      <w:r w:rsidRPr="00172B2B">
        <w:rPr>
          <w:rFonts w:ascii="Times New Roman" w:eastAsia="Arial" w:hAnsi="Times New Roman" w:cs="Times New Roman"/>
          <w:b/>
          <w:bCs/>
          <w:sz w:val="24"/>
          <w:szCs w:val="24"/>
          <w:lang w:val="bs"/>
        </w:rPr>
        <w:t>Skradina</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za</w:t>
      </w:r>
      <w:r w:rsidRPr="00172B2B">
        <w:rPr>
          <w:rFonts w:ascii="Times New Roman" w:eastAsia="Arial" w:hAnsi="Times New Roman" w:cs="Times New Roman"/>
          <w:b/>
          <w:bCs/>
          <w:spacing w:val="-7"/>
          <w:sz w:val="24"/>
          <w:szCs w:val="24"/>
          <w:lang w:val="bs"/>
        </w:rPr>
        <w:t xml:space="preserve"> </w:t>
      </w:r>
      <w:r w:rsidRPr="00172B2B">
        <w:rPr>
          <w:rFonts w:ascii="Times New Roman" w:eastAsia="Arial" w:hAnsi="Times New Roman" w:cs="Times New Roman"/>
          <w:b/>
          <w:bCs/>
          <w:sz w:val="24"/>
          <w:szCs w:val="24"/>
          <w:lang w:val="bs"/>
        </w:rPr>
        <w:t>razdoblje</w:t>
      </w:r>
      <w:r w:rsidRPr="00172B2B">
        <w:rPr>
          <w:rFonts w:ascii="Times New Roman" w:eastAsia="Arial" w:hAnsi="Times New Roman" w:cs="Times New Roman"/>
          <w:b/>
          <w:bCs/>
          <w:spacing w:val="-3"/>
          <w:sz w:val="24"/>
          <w:szCs w:val="24"/>
          <w:lang w:val="bs"/>
        </w:rPr>
        <w:t xml:space="preserve">  </w:t>
      </w:r>
      <w:r w:rsidRPr="00172B2B">
        <w:rPr>
          <w:rFonts w:ascii="Times New Roman" w:eastAsia="Arial" w:hAnsi="Times New Roman" w:cs="Times New Roman"/>
          <w:b/>
          <w:bCs/>
          <w:sz w:val="24"/>
          <w:szCs w:val="24"/>
          <w:lang w:val="bs"/>
        </w:rPr>
        <w:t>od</w:t>
      </w:r>
      <w:r w:rsidRPr="00172B2B">
        <w:rPr>
          <w:rFonts w:ascii="Times New Roman" w:eastAsia="Arial" w:hAnsi="Times New Roman" w:cs="Times New Roman"/>
          <w:b/>
          <w:bCs/>
          <w:spacing w:val="-4"/>
          <w:sz w:val="24"/>
          <w:szCs w:val="24"/>
          <w:lang w:val="bs"/>
        </w:rPr>
        <w:t xml:space="preserve"> </w:t>
      </w:r>
      <w:r w:rsidRPr="00172B2B">
        <w:rPr>
          <w:rFonts w:ascii="Times New Roman" w:eastAsia="Arial" w:hAnsi="Times New Roman" w:cs="Times New Roman"/>
          <w:b/>
          <w:bCs/>
          <w:sz w:val="24"/>
          <w:szCs w:val="24"/>
          <w:lang w:val="bs"/>
        </w:rPr>
        <w:t xml:space="preserve">2026.-2028. </w:t>
      </w:r>
      <w:r w:rsidRPr="00172B2B">
        <w:rPr>
          <w:rFonts w:ascii="Times New Roman" w:eastAsia="Arial" w:hAnsi="Times New Roman" w:cs="Times New Roman"/>
          <w:b/>
          <w:bCs/>
          <w:spacing w:val="-2"/>
          <w:sz w:val="24"/>
          <w:szCs w:val="24"/>
          <w:lang w:val="bs"/>
        </w:rPr>
        <w:t>godine</w:t>
      </w:r>
    </w:p>
    <w:p w14:paraId="1001235A" w14:textId="77777777" w:rsidR="003F4BAD" w:rsidRPr="00172B2B" w:rsidRDefault="003F4BAD" w:rsidP="003F4BAD">
      <w:pPr>
        <w:widowControl w:val="0"/>
        <w:autoSpaceDE w:val="0"/>
        <w:autoSpaceDN w:val="0"/>
        <w:spacing w:before="2" w:after="0" w:line="240" w:lineRule="auto"/>
        <w:rPr>
          <w:rFonts w:ascii="Times New Roman" w:eastAsia="Arial" w:hAnsi="Times New Roman" w:cs="Times New Roman"/>
          <w:b/>
          <w:sz w:val="24"/>
          <w:szCs w:val="24"/>
          <w:lang w:val="bs"/>
        </w:rPr>
      </w:pPr>
    </w:p>
    <w:p w14:paraId="16B5DD49" w14:textId="77777777" w:rsidR="003F4BAD" w:rsidRPr="00172B2B" w:rsidRDefault="003F4BAD" w:rsidP="003F4BAD">
      <w:pPr>
        <w:widowControl w:val="0"/>
        <w:tabs>
          <w:tab w:val="left" w:pos="863"/>
        </w:tabs>
        <w:autoSpaceDE w:val="0"/>
        <w:autoSpaceDN w:val="0"/>
        <w:spacing w:before="2" w:after="0" w:line="237" w:lineRule="auto"/>
        <w:ind w:right="138"/>
        <w:rPr>
          <w:rFonts w:ascii="Times New Roman" w:eastAsia="Arial" w:hAnsi="Times New Roman" w:cs="Times New Roman"/>
          <w:sz w:val="24"/>
          <w:szCs w:val="24"/>
          <w:lang w:val="bs"/>
        </w:rPr>
      </w:pPr>
    </w:p>
    <w:p w14:paraId="59F6E5BA" w14:textId="77777777" w:rsidR="003F4BAD" w:rsidRPr="00172B2B" w:rsidRDefault="003F4BAD" w:rsidP="003F4BAD">
      <w:pPr>
        <w:widowControl w:val="0"/>
        <w:autoSpaceDE w:val="0"/>
        <w:autoSpaceDN w:val="0"/>
        <w:spacing w:after="0" w:line="240" w:lineRule="auto"/>
        <w:ind w:left="143" w:firstLine="708"/>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U</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skladu sa</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Zakonom</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o proračunu, procjena prihoda</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primitaka</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Proračuna</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Grada</w:t>
      </w:r>
      <w:r w:rsidRPr="00172B2B">
        <w:rPr>
          <w:rFonts w:ascii="Times New Roman" w:eastAsia="Arial" w:hAnsi="Times New Roman" w:cs="Times New Roman"/>
          <w:spacing w:val="-1"/>
          <w:sz w:val="24"/>
          <w:szCs w:val="24"/>
          <w:lang w:val="bs"/>
        </w:rPr>
        <w:t xml:space="preserve"> </w:t>
      </w:r>
      <w:r w:rsidRPr="00172B2B">
        <w:rPr>
          <w:rFonts w:ascii="Times New Roman" w:eastAsia="Arial" w:hAnsi="Times New Roman" w:cs="Times New Roman"/>
          <w:sz w:val="24"/>
          <w:szCs w:val="24"/>
          <w:lang w:val="bs"/>
        </w:rPr>
        <w:t>Skradina za razdoblje 2026.-2028. godine izrađena je prema osnovnim izvorima financiranja:</w:t>
      </w:r>
    </w:p>
    <w:p w14:paraId="6FD7F0DA" w14:textId="77777777" w:rsidR="003F4BAD" w:rsidRPr="00172B2B" w:rsidRDefault="003F4BAD" w:rsidP="003F4BAD">
      <w:pPr>
        <w:widowControl w:val="0"/>
        <w:numPr>
          <w:ilvl w:val="0"/>
          <w:numId w:val="12"/>
        </w:numPr>
        <w:tabs>
          <w:tab w:val="left" w:pos="861"/>
        </w:tabs>
        <w:autoSpaceDE w:val="0"/>
        <w:autoSpaceDN w:val="0"/>
        <w:spacing w:before="252" w:after="0" w:line="269" w:lineRule="exact"/>
        <w:ind w:left="861" w:hanging="358"/>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Opći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prihodi</w:t>
      </w:r>
      <w:r w:rsidRPr="00172B2B">
        <w:rPr>
          <w:rFonts w:ascii="Times New Roman" w:eastAsia="Arial" w:hAnsi="Times New Roman" w:cs="Times New Roman"/>
          <w:spacing w:val="-2"/>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2"/>
          <w:sz w:val="24"/>
          <w:szCs w:val="24"/>
          <w:lang w:val="bs"/>
        </w:rPr>
        <w:t xml:space="preserve"> </w:t>
      </w:r>
      <w:r w:rsidRPr="00172B2B">
        <w:rPr>
          <w:rFonts w:ascii="Times New Roman" w:eastAsia="Arial" w:hAnsi="Times New Roman" w:cs="Times New Roman"/>
          <w:sz w:val="24"/>
          <w:szCs w:val="24"/>
          <w:lang w:val="bs"/>
        </w:rPr>
        <w:t>primici</w:t>
      </w:r>
      <w:r w:rsidRPr="00172B2B">
        <w:rPr>
          <w:rFonts w:ascii="Times New Roman" w:eastAsia="Arial" w:hAnsi="Times New Roman" w:cs="Times New Roman"/>
          <w:spacing w:val="-2"/>
          <w:sz w:val="24"/>
          <w:szCs w:val="24"/>
          <w:lang w:val="bs"/>
        </w:rPr>
        <w:t xml:space="preserve"> proračuna</w:t>
      </w:r>
    </w:p>
    <w:p w14:paraId="4A3FC4B2" w14:textId="77777777" w:rsidR="003F4BAD" w:rsidRPr="00172B2B" w:rsidRDefault="003F4BAD" w:rsidP="003F4BAD">
      <w:pPr>
        <w:widowControl w:val="0"/>
        <w:numPr>
          <w:ilvl w:val="0"/>
          <w:numId w:val="12"/>
        </w:numPr>
        <w:tabs>
          <w:tab w:val="left" w:pos="861"/>
          <w:tab w:val="left" w:pos="863"/>
        </w:tabs>
        <w:autoSpaceDE w:val="0"/>
        <w:autoSpaceDN w:val="0"/>
        <w:spacing w:after="0" w:line="240" w:lineRule="auto"/>
        <w:ind w:right="137"/>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Namjenski prihodi i primici proračuna (prihodi za posebne namjene, pomoći, donacije, prihodi od prodaje ili zamjene nefinancijske imovine i naknade s naslova osiguranja, namjenski primici)</w:t>
      </w:r>
    </w:p>
    <w:p w14:paraId="0B69B0EA" w14:textId="77777777" w:rsidR="003F4BAD" w:rsidRPr="00172B2B" w:rsidRDefault="003F4BAD" w:rsidP="003F4BAD">
      <w:pPr>
        <w:widowControl w:val="0"/>
        <w:numPr>
          <w:ilvl w:val="0"/>
          <w:numId w:val="12"/>
        </w:numPr>
        <w:tabs>
          <w:tab w:val="left" w:pos="861"/>
        </w:tabs>
        <w:autoSpaceDE w:val="0"/>
        <w:autoSpaceDN w:val="0"/>
        <w:spacing w:after="0" w:line="267" w:lineRule="exact"/>
        <w:ind w:left="861" w:hanging="358"/>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Vlastiti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namjenski</w:t>
      </w:r>
      <w:r w:rsidRPr="00172B2B">
        <w:rPr>
          <w:rFonts w:ascii="Times New Roman" w:eastAsia="Arial" w:hAnsi="Times New Roman" w:cs="Times New Roman"/>
          <w:spacing w:val="-6"/>
          <w:sz w:val="24"/>
          <w:szCs w:val="24"/>
          <w:lang w:val="bs"/>
        </w:rPr>
        <w:t xml:space="preserve"> </w:t>
      </w:r>
      <w:r w:rsidRPr="00172B2B">
        <w:rPr>
          <w:rFonts w:ascii="Times New Roman" w:eastAsia="Arial" w:hAnsi="Times New Roman" w:cs="Times New Roman"/>
          <w:sz w:val="24"/>
          <w:szCs w:val="24"/>
          <w:lang w:val="bs"/>
        </w:rPr>
        <w:t>prihodi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primici</w:t>
      </w:r>
      <w:r w:rsidRPr="00172B2B">
        <w:rPr>
          <w:rFonts w:ascii="Times New Roman" w:eastAsia="Arial" w:hAnsi="Times New Roman" w:cs="Times New Roman"/>
          <w:spacing w:val="-3"/>
          <w:sz w:val="24"/>
          <w:szCs w:val="24"/>
          <w:lang w:val="bs"/>
        </w:rPr>
        <w:t xml:space="preserve"> </w:t>
      </w:r>
      <w:r w:rsidRPr="00172B2B">
        <w:rPr>
          <w:rFonts w:ascii="Times New Roman" w:eastAsia="Arial" w:hAnsi="Times New Roman" w:cs="Times New Roman"/>
          <w:sz w:val="24"/>
          <w:szCs w:val="24"/>
          <w:lang w:val="bs"/>
        </w:rPr>
        <w:t>proračunskih</w:t>
      </w:r>
      <w:r w:rsidRPr="00172B2B">
        <w:rPr>
          <w:rFonts w:ascii="Times New Roman" w:eastAsia="Arial" w:hAnsi="Times New Roman" w:cs="Times New Roman"/>
          <w:spacing w:val="-8"/>
          <w:sz w:val="24"/>
          <w:szCs w:val="24"/>
          <w:lang w:val="bs"/>
        </w:rPr>
        <w:t xml:space="preserve"> </w:t>
      </w:r>
      <w:r w:rsidRPr="00172B2B">
        <w:rPr>
          <w:rFonts w:ascii="Times New Roman" w:eastAsia="Arial" w:hAnsi="Times New Roman" w:cs="Times New Roman"/>
          <w:spacing w:val="-2"/>
          <w:sz w:val="24"/>
          <w:szCs w:val="24"/>
          <w:lang w:val="bs"/>
        </w:rPr>
        <w:t>korisnika.</w:t>
      </w:r>
    </w:p>
    <w:p w14:paraId="70B4C916" w14:textId="77777777" w:rsidR="003F4BAD" w:rsidRPr="00172B2B" w:rsidRDefault="003F4BAD" w:rsidP="003F4BAD">
      <w:pPr>
        <w:widowControl w:val="0"/>
        <w:autoSpaceDE w:val="0"/>
        <w:autoSpaceDN w:val="0"/>
        <w:spacing w:after="0" w:line="240" w:lineRule="auto"/>
        <w:rPr>
          <w:rFonts w:ascii="Times New Roman" w:eastAsia="Arial" w:hAnsi="Times New Roman" w:cs="Times New Roman"/>
          <w:sz w:val="24"/>
          <w:szCs w:val="24"/>
          <w:lang w:val="bs"/>
        </w:rPr>
      </w:pPr>
    </w:p>
    <w:p w14:paraId="62934727" w14:textId="77777777" w:rsidR="003F4BAD" w:rsidRPr="00172B2B" w:rsidRDefault="003F4BAD" w:rsidP="003F4BAD">
      <w:pPr>
        <w:widowControl w:val="0"/>
        <w:autoSpaceDE w:val="0"/>
        <w:autoSpaceDN w:val="0"/>
        <w:spacing w:after="0" w:line="240" w:lineRule="auto"/>
        <w:rPr>
          <w:rFonts w:ascii="Times New Roman" w:eastAsia="Arial" w:hAnsi="Times New Roman" w:cs="Times New Roman"/>
          <w:sz w:val="24"/>
          <w:szCs w:val="24"/>
          <w:lang w:val="bs"/>
        </w:rPr>
      </w:pPr>
    </w:p>
    <w:p w14:paraId="471D8E3E" w14:textId="77777777" w:rsidR="003F4BAD" w:rsidRPr="00172B2B" w:rsidRDefault="003F4BAD" w:rsidP="003F4BAD">
      <w:pPr>
        <w:widowControl w:val="0"/>
        <w:autoSpaceDE w:val="0"/>
        <w:autoSpaceDN w:val="0"/>
        <w:spacing w:before="1" w:after="0" w:line="240" w:lineRule="auto"/>
        <w:ind w:left="143" w:right="137" w:firstLine="708"/>
        <w:jc w:val="both"/>
        <w:rPr>
          <w:rFonts w:ascii="Times New Roman" w:eastAsia="Arial" w:hAnsi="Times New Roman" w:cs="Times New Roman"/>
          <w:sz w:val="24"/>
          <w:szCs w:val="24"/>
          <w:lang w:val="bs"/>
        </w:rPr>
      </w:pPr>
      <w:r w:rsidRPr="00172B2B">
        <w:rPr>
          <w:rFonts w:ascii="Times New Roman" w:eastAsia="Arial" w:hAnsi="Times New Roman" w:cs="Times New Roman"/>
          <w:sz w:val="24"/>
          <w:szCs w:val="24"/>
          <w:lang w:val="bs"/>
        </w:rPr>
        <w:t>U</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nastavku</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u</w:t>
      </w:r>
      <w:r w:rsidRPr="00172B2B">
        <w:rPr>
          <w:rFonts w:ascii="Times New Roman" w:eastAsia="Arial" w:hAnsi="Times New Roman" w:cs="Times New Roman"/>
          <w:spacing w:val="27"/>
          <w:sz w:val="24"/>
          <w:szCs w:val="24"/>
          <w:lang w:val="bs"/>
        </w:rPr>
        <w:t xml:space="preserve"> </w:t>
      </w:r>
      <w:r w:rsidRPr="00172B2B">
        <w:rPr>
          <w:rFonts w:ascii="Times New Roman" w:eastAsia="Arial" w:hAnsi="Times New Roman" w:cs="Times New Roman"/>
          <w:sz w:val="24"/>
          <w:szCs w:val="24"/>
          <w:lang w:val="bs"/>
        </w:rPr>
        <w:t>Tablici</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1.</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se</w:t>
      </w:r>
      <w:r w:rsidRPr="00172B2B">
        <w:rPr>
          <w:rFonts w:ascii="Times New Roman" w:eastAsia="Arial" w:hAnsi="Times New Roman" w:cs="Times New Roman"/>
          <w:spacing w:val="30"/>
          <w:sz w:val="24"/>
          <w:szCs w:val="24"/>
          <w:lang w:val="bs"/>
        </w:rPr>
        <w:t xml:space="preserve"> </w:t>
      </w:r>
      <w:r w:rsidRPr="00172B2B">
        <w:rPr>
          <w:rFonts w:ascii="Times New Roman" w:eastAsia="Arial" w:hAnsi="Times New Roman" w:cs="Times New Roman"/>
          <w:sz w:val="24"/>
          <w:szCs w:val="24"/>
          <w:lang w:val="bs"/>
        </w:rPr>
        <w:t>daje</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procjena</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prihoda</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i</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primitaka</w:t>
      </w:r>
      <w:r w:rsidRPr="00172B2B">
        <w:rPr>
          <w:rFonts w:ascii="Times New Roman" w:eastAsia="Arial" w:hAnsi="Times New Roman" w:cs="Times New Roman"/>
          <w:spacing w:val="31"/>
          <w:sz w:val="24"/>
          <w:szCs w:val="24"/>
          <w:lang w:val="bs"/>
        </w:rPr>
        <w:t xml:space="preserve"> </w:t>
      </w:r>
      <w:r w:rsidRPr="00172B2B">
        <w:rPr>
          <w:rFonts w:ascii="Times New Roman" w:eastAsia="Arial" w:hAnsi="Times New Roman" w:cs="Times New Roman"/>
          <w:sz w:val="24"/>
          <w:szCs w:val="24"/>
          <w:lang w:val="bs"/>
        </w:rPr>
        <w:t>Proračuna</w:t>
      </w:r>
      <w:r w:rsidRPr="00172B2B">
        <w:rPr>
          <w:rFonts w:ascii="Times New Roman" w:eastAsia="Arial" w:hAnsi="Times New Roman" w:cs="Times New Roman"/>
          <w:spacing w:val="27"/>
          <w:sz w:val="24"/>
          <w:szCs w:val="24"/>
          <w:lang w:val="bs"/>
        </w:rPr>
        <w:t xml:space="preserve"> </w:t>
      </w:r>
      <w:r w:rsidRPr="00172B2B">
        <w:rPr>
          <w:rFonts w:ascii="Times New Roman" w:eastAsia="Arial" w:hAnsi="Times New Roman" w:cs="Times New Roman"/>
          <w:sz w:val="24"/>
          <w:szCs w:val="24"/>
          <w:lang w:val="bs"/>
        </w:rPr>
        <w:t>Grada</w:t>
      </w:r>
      <w:r w:rsidRPr="00172B2B">
        <w:rPr>
          <w:rFonts w:ascii="Times New Roman" w:eastAsia="Arial" w:hAnsi="Times New Roman" w:cs="Times New Roman"/>
          <w:spacing w:val="29"/>
          <w:sz w:val="24"/>
          <w:szCs w:val="24"/>
          <w:lang w:val="bs"/>
        </w:rPr>
        <w:t xml:space="preserve"> </w:t>
      </w:r>
      <w:r w:rsidRPr="00172B2B">
        <w:rPr>
          <w:rFonts w:ascii="Times New Roman" w:eastAsia="Arial" w:hAnsi="Times New Roman" w:cs="Times New Roman"/>
          <w:sz w:val="24"/>
          <w:szCs w:val="24"/>
          <w:lang w:val="bs"/>
        </w:rPr>
        <w:t>Skradina</w:t>
      </w:r>
      <w:r w:rsidRPr="00172B2B">
        <w:rPr>
          <w:rFonts w:ascii="Times New Roman" w:eastAsia="Arial" w:hAnsi="Times New Roman" w:cs="Times New Roman"/>
          <w:spacing w:val="28"/>
          <w:sz w:val="24"/>
          <w:szCs w:val="24"/>
          <w:lang w:val="bs"/>
        </w:rPr>
        <w:t xml:space="preserve"> </w:t>
      </w:r>
      <w:r w:rsidRPr="00172B2B">
        <w:rPr>
          <w:rFonts w:ascii="Times New Roman" w:eastAsia="Arial" w:hAnsi="Times New Roman" w:cs="Times New Roman"/>
          <w:sz w:val="24"/>
          <w:szCs w:val="24"/>
          <w:lang w:val="bs"/>
        </w:rPr>
        <w:t>za sljedeće trogodišnje proračunsko razdoblje od 2026.-2028. godine.</w:t>
      </w:r>
    </w:p>
    <w:p w14:paraId="53E6A9A7" w14:textId="77777777" w:rsidR="003F4BAD" w:rsidRPr="00172B2B" w:rsidRDefault="003F4BAD" w:rsidP="003F4BAD">
      <w:pPr>
        <w:rPr>
          <w:rFonts w:ascii="Times New Roman" w:hAnsi="Times New Roman" w:cs="Times New Roman"/>
          <w:sz w:val="24"/>
          <w:szCs w:val="24"/>
        </w:rPr>
      </w:pPr>
    </w:p>
    <w:p w14:paraId="5CB768FB" w14:textId="2156CBFF" w:rsidR="00172B2B" w:rsidRPr="00172B2B" w:rsidRDefault="00172B2B" w:rsidP="003F4BAD">
      <w:pPr>
        <w:rPr>
          <w:rFonts w:ascii="Times New Roman" w:hAnsi="Times New Roman" w:cs="Times New Roman"/>
          <w:sz w:val="24"/>
          <w:szCs w:val="24"/>
        </w:rPr>
      </w:pPr>
      <w:r w:rsidRPr="00172B2B">
        <w:rPr>
          <w:rFonts w:ascii="Times New Roman" w:hAnsi="Times New Roman" w:cs="Times New Roman"/>
          <w:sz w:val="24"/>
          <w:szCs w:val="24"/>
        </w:rPr>
        <w:t>Tablica 1:</w:t>
      </w:r>
    </w:p>
    <w:tbl>
      <w:tblPr>
        <w:tblpPr w:leftFromText="180" w:rightFromText="180" w:vertAnchor="text" w:horzAnchor="page" w:tblpX="1" w:tblpY="-61"/>
        <w:tblW w:w="1353" w:type="dxa"/>
        <w:tblLook w:val="04A0" w:firstRow="1" w:lastRow="0" w:firstColumn="1" w:lastColumn="0" w:noHBand="0" w:noVBand="1"/>
      </w:tblPr>
      <w:tblGrid>
        <w:gridCol w:w="1353"/>
      </w:tblGrid>
      <w:tr w:rsidR="00375E84" w:rsidRPr="00172B2B" w14:paraId="17C4D4B2" w14:textId="77777777" w:rsidTr="00375E84">
        <w:trPr>
          <w:trHeight w:val="360"/>
        </w:trPr>
        <w:tc>
          <w:tcPr>
            <w:tcW w:w="1353" w:type="dxa"/>
            <w:tcBorders>
              <w:top w:val="nil"/>
              <w:left w:val="nil"/>
              <w:bottom w:val="nil"/>
              <w:right w:val="nil"/>
            </w:tcBorders>
            <w:noWrap/>
            <w:vAlign w:val="bottom"/>
            <w:hideMark/>
          </w:tcPr>
          <w:p w14:paraId="0E9CA2D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172B2B" w14:paraId="75C0CA99" w14:textId="77777777" w:rsidTr="00375E84">
        <w:trPr>
          <w:trHeight w:val="255"/>
        </w:trPr>
        <w:tc>
          <w:tcPr>
            <w:tcW w:w="1353" w:type="dxa"/>
            <w:tcBorders>
              <w:top w:val="nil"/>
              <w:left w:val="nil"/>
              <w:bottom w:val="nil"/>
              <w:right w:val="nil"/>
            </w:tcBorders>
            <w:noWrap/>
            <w:vAlign w:val="bottom"/>
            <w:hideMark/>
          </w:tcPr>
          <w:p w14:paraId="7520633D"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r>
      <w:tr w:rsidR="00375E84" w:rsidRPr="00172B2B" w14:paraId="6E115F15" w14:textId="77777777" w:rsidTr="00375E84">
        <w:trPr>
          <w:trHeight w:val="255"/>
        </w:trPr>
        <w:tc>
          <w:tcPr>
            <w:tcW w:w="1353" w:type="dxa"/>
            <w:tcBorders>
              <w:top w:val="nil"/>
              <w:left w:val="nil"/>
              <w:bottom w:val="nil"/>
              <w:right w:val="nil"/>
            </w:tcBorders>
            <w:noWrap/>
            <w:vAlign w:val="bottom"/>
            <w:hideMark/>
          </w:tcPr>
          <w:p w14:paraId="00294DB1"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r>
      <w:tr w:rsidR="00375E84" w:rsidRPr="00172B2B" w14:paraId="277C1BE5" w14:textId="77777777" w:rsidTr="00375E84">
        <w:trPr>
          <w:trHeight w:val="255"/>
        </w:trPr>
        <w:tc>
          <w:tcPr>
            <w:tcW w:w="1353" w:type="dxa"/>
            <w:tcBorders>
              <w:top w:val="nil"/>
              <w:left w:val="nil"/>
              <w:bottom w:val="nil"/>
              <w:right w:val="nil"/>
            </w:tcBorders>
            <w:noWrap/>
            <w:vAlign w:val="bottom"/>
            <w:hideMark/>
          </w:tcPr>
          <w:p w14:paraId="2B79886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172B2B" w14:paraId="72C9AEBB" w14:textId="77777777" w:rsidTr="00375E84">
        <w:trPr>
          <w:trHeight w:val="255"/>
        </w:trPr>
        <w:tc>
          <w:tcPr>
            <w:tcW w:w="1353" w:type="dxa"/>
            <w:tcBorders>
              <w:top w:val="nil"/>
              <w:left w:val="nil"/>
              <w:bottom w:val="nil"/>
              <w:right w:val="nil"/>
            </w:tcBorders>
            <w:noWrap/>
            <w:vAlign w:val="bottom"/>
            <w:hideMark/>
          </w:tcPr>
          <w:p w14:paraId="5F46F0F6"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p>
        </w:tc>
      </w:tr>
    </w:tbl>
    <w:tbl>
      <w:tblPr>
        <w:tblW w:w="8020" w:type="dxa"/>
        <w:tblLook w:val="04A0" w:firstRow="1" w:lastRow="0" w:firstColumn="1" w:lastColumn="0" w:noHBand="0" w:noVBand="1"/>
      </w:tblPr>
      <w:tblGrid>
        <w:gridCol w:w="456"/>
        <w:gridCol w:w="4000"/>
        <w:gridCol w:w="1476"/>
        <w:gridCol w:w="1476"/>
        <w:gridCol w:w="1476"/>
      </w:tblGrid>
      <w:tr w:rsidR="00375E84" w:rsidRPr="00375E84" w14:paraId="14F8ABFA" w14:textId="77777777" w:rsidTr="00375E84">
        <w:trPr>
          <w:trHeight w:val="255"/>
        </w:trPr>
        <w:tc>
          <w:tcPr>
            <w:tcW w:w="420" w:type="dxa"/>
            <w:tcBorders>
              <w:top w:val="nil"/>
              <w:left w:val="nil"/>
              <w:bottom w:val="nil"/>
              <w:right w:val="nil"/>
            </w:tcBorders>
            <w:noWrap/>
            <w:vAlign w:val="bottom"/>
            <w:hideMark/>
          </w:tcPr>
          <w:p w14:paraId="7350EC8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028FDCF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641D311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4EF244FC"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3F4D566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375E84" w14:paraId="4C2AF33F" w14:textId="77777777" w:rsidTr="00375E84">
        <w:trPr>
          <w:trHeight w:val="360"/>
        </w:trPr>
        <w:tc>
          <w:tcPr>
            <w:tcW w:w="420" w:type="dxa"/>
            <w:tcBorders>
              <w:top w:val="nil"/>
              <w:left w:val="nil"/>
              <w:bottom w:val="nil"/>
              <w:right w:val="nil"/>
            </w:tcBorders>
            <w:noWrap/>
            <w:vAlign w:val="bottom"/>
            <w:hideMark/>
          </w:tcPr>
          <w:p w14:paraId="22EA414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7600" w:type="dxa"/>
            <w:gridSpan w:val="4"/>
            <w:tcBorders>
              <w:top w:val="nil"/>
              <w:left w:val="nil"/>
              <w:bottom w:val="nil"/>
              <w:right w:val="nil"/>
            </w:tcBorders>
            <w:noWrap/>
            <w:vAlign w:val="bottom"/>
            <w:hideMark/>
          </w:tcPr>
          <w:p w14:paraId="0FD7281F"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PROJEKCIJA PLANA PRORAČUNA</w:t>
            </w:r>
          </w:p>
        </w:tc>
      </w:tr>
      <w:tr w:rsidR="00375E84" w:rsidRPr="00375E84" w14:paraId="18FFA961" w14:textId="77777777" w:rsidTr="00375E84">
        <w:trPr>
          <w:trHeight w:val="255"/>
        </w:trPr>
        <w:tc>
          <w:tcPr>
            <w:tcW w:w="420" w:type="dxa"/>
            <w:tcBorders>
              <w:top w:val="nil"/>
              <w:left w:val="nil"/>
              <w:bottom w:val="nil"/>
              <w:right w:val="nil"/>
            </w:tcBorders>
            <w:noWrap/>
            <w:vAlign w:val="bottom"/>
            <w:hideMark/>
          </w:tcPr>
          <w:p w14:paraId="26C28464"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7600" w:type="dxa"/>
            <w:gridSpan w:val="4"/>
            <w:tcBorders>
              <w:top w:val="nil"/>
              <w:left w:val="nil"/>
              <w:bottom w:val="nil"/>
              <w:right w:val="nil"/>
            </w:tcBorders>
            <w:noWrap/>
            <w:vAlign w:val="bottom"/>
            <w:hideMark/>
          </w:tcPr>
          <w:p w14:paraId="0F5DB54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375E84" w14:paraId="386F9263" w14:textId="77777777" w:rsidTr="00375E84">
        <w:trPr>
          <w:trHeight w:val="255"/>
        </w:trPr>
        <w:tc>
          <w:tcPr>
            <w:tcW w:w="420" w:type="dxa"/>
            <w:tcBorders>
              <w:top w:val="nil"/>
              <w:left w:val="nil"/>
              <w:bottom w:val="nil"/>
              <w:right w:val="nil"/>
            </w:tcBorders>
            <w:noWrap/>
            <w:vAlign w:val="bottom"/>
            <w:hideMark/>
          </w:tcPr>
          <w:p w14:paraId="2311A025"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76395DD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11D2F0D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646EC7E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08F84B5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r w:rsidR="00375E84" w:rsidRPr="00375E84" w14:paraId="4FD42D0C" w14:textId="77777777" w:rsidTr="00375E84">
        <w:trPr>
          <w:trHeight w:val="255"/>
        </w:trPr>
        <w:tc>
          <w:tcPr>
            <w:tcW w:w="420" w:type="dxa"/>
            <w:tcBorders>
              <w:top w:val="nil"/>
              <w:left w:val="nil"/>
              <w:bottom w:val="nil"/>
              <w:right w:val="nil"/>
            </w:tcBorders>
            <w:noWrap/>
            <w:vAlign w:val="bottom"/>
            <w:hideMark/>
          </w:tcPr>
          <w:p w14:paraId="2B4FBFE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2D80BB0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3600" w:type="dxa"/>
            <w:gridSpan w:val="3"/>
            <w:tcBorders>
              <w:top w:val="nil"/>
              <w:left w:val="nil"/>
              <w:bottom w:val="nil"/>
              <w:right w:val="nil"/>
            </w:tcBorders>
            <w:noWrap/>
            <w:vAlign w:val="bottom"/>
            <w:hideMark/>
          </w:tcPr>
          <w:p w14:paraId="3E9406C3"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GODINE</w:t>
            </w:r>
          </w:p>
        </w:tc>
      </w:tr>
      <w:tr w:rsidR="00375E84" w:rsidRPr="00375E84" w14:paraId="3AB68911" w14:textId="77777777" w:rsidTr="00375E84">
        <w:trPr>
          <w:trHeight w:val="255"/>
        </w:trPr>
        <w:tc>
          <w:tcPr>
            <w:tcW w:w="420" w:type="dxa"/>
            <w:tcBorders>
              <w:top w:val="nil"/>
              <w:left w:val="nil"/>
              <w:bottom w:val="nil"/>
              <w:right w:val="nil"/>
            </w:tcBorders>
            <w:noWrap/>
            <w:vAlign w:val="bottom"/>
            <w:hideMark/>
          </w:tcPr>
          <w:p w14:paraId="19D106C5"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p>
        </w:tc>
        <w:tc>
          <w:tcPr>
            <w:tcW w:w="4000" w:type="dxa"/>
            <w:tcBorders>
              <w:top w:val="nil"/>
              <w:left w:val="nil"/>
              <w:bottom w:val="nil"/>
              <w:right w:val="nil"/>
            </w:tcBorders>
            <w:noWrap/>
            <w:vAlign w:val="bottom"/>
            <w:hideMark/>
          </w:tcPr>
          <w:p w14:paraId="02FD6C2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4F2A59E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26C6B414"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2FF73B9B"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r>
      <w:tr w:rsidR="00375E84" w:rsidRPr="00375E84" w14:paraId="185FC2E7" w14:textId="77777777" w:rsidTr="00375E84">
        <w:trPr>
          <w:trHeight w:val="255"/>
        </w:trPr>
        <w:tc>
          <w:tcPr>
            <w:tcW w:w="420" w:type="dxa"/>
            <w:tcBorders>
              <w:top w:val="nil"/>
              <w:left w:val="nil"/>
              <w:bottom w:val="nil"/>
              <w:right w:val="nil"/>
            </w:tcBorders>
            <w:vAlign w:val="bottom"/>
            <w:hideMark/>
          </w:tcPr>
          <w:p w14:paraId="07B53043" w14:textId="77777777" w:rsidR="00375E84" w:rsidRPr="00375E84" w:rsidRDefault="00375E84" w:rsidP="00375E84">
            <w:pPr>
              <w:spacing w:after="0" w:line="240" w:lineRule="auto"/>
              <w:jc w:val="center"/>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4D094112" w14:textId="77777777" w:rsidR="00375E84" w:rsidRPr="00375E84" w:rsidRDefault="00375E84" w:rsidP="00375E84">
            <w:pPr>
              <w:spacing w:after="0" w:line="240" w:lineRule="auto"/>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VRSTA PRIHODA / PRIMITAKA</w:t>
            </w:r>
          </w:p>
        </w:tc>
        <w:tc>
          <w:tcPr>
            <w:tcW w:w="1200" w:type="dxa"/>
            <w:tcBorders>
              <w:top w:val="nil"/>
              <w:left w:val="nil"/>
              <w:bottom w:val="nil"/>
              <w:right w:val="nil"/>
            </w:tcBorders>
            <w:noWrap/>
            <w:vAlign w:val="bottom"/>
            <w:hideMark/>
          </w:tcPr>
          <w:p w14:paraId="77123B5C"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2026</w:t>
            </w:r>
          </w:p>
        </w:tc>
        <w:tc>
          <w:tcPr>
            <w:tcW w:w="1200" w:type="dxa"/>
            <w:tcBorders>
              <w:top w:val="nil"/>
              <w:left w:val="nil"/>
              <w:bottom w:val="nil"/>
              <w:right w:val="nil"/>
            </w:tcBorders>
            <w:noWrap/>
            <w:vAlign w:val="bottom"/>
            <w:hideMark/>
          </w:tcPr>
          <w:p w14:paraId="117C20E0"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2027</w:t>
            </w:r>
          </w:p>
        </w:tc>
        <w:tc>
          <w:tcPr>
            <w:tcW w:w="1200" w:type="dxa"/>
            <w:tcBorders>
              <w:top w:val="nil"/>
              <w:left w:val="nil"/>
              <w:bottom w:val="nil"/>
              <w:right w:val="nil"/>
            </w:tcBorders>
            <w:noWrap/>
            <w:vAlign w:val="bottom"/>
            <w:hideMark/>
          </w:tcPr>
          <w:p w14:paraId="6205ECF1"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r w:rsidRPr="00375E84">
              <w:rPr>
                <w:rFonts w:ascii="Times New Roman" w:eastAsia="Times New Roman" w:hAnsi="Times New Roman" w:cs="Times New Roman"/>
                <w:b/>
                <w:bCs/>
                <w:sz w:val="24"/>
                <w:szCs w:val="24"/>
                <w:lang w:eastAsia="hr-HR"/>
              </w:rPr>
              <w:t>2028</w:t>
            </w:r>
          </w:p>
        </w:tc>
      </w:tr>
      <w:tr w:rsidR="00375E84" w:rsidRPr="00375E84" w14:paraId="37A82CFC" w14:textId="77777777" w:rsidTr="00375E84">
        <w:trPr>
          <w:trHeight w:val="255"/>
        </w:trPr>
        <w:tc>
          <w:tcPr>
            <w:tcW w:w="420" w:type="dxa"/>
            <w:tcBorders>
              <w:top w:val="nil"/>
              <w:left w:val="nil"/>
              <w:bottom w:val="nil"/>
              <w:right w:val="nil"/>
            </w:tcBorders>
            <w:noWrap/>
            <w:vAlign w:val="bottom"/>
            <w:hideMark/>
          </w:tcPr>
          <w:p w14:paraId="2CC4DA3B" w14:textId="77777777" w:rsidR="00375E84" w:rsidRPr="00375E84" w:rsidRDefault="00375E84" w:rsidP="00375E84">
            <w:pPr>
              <w:spacing w:after="0" w:line="240" w:lineRule="auto"/>
              <w:jc w:val="center"/>
              <w:rPr>
                <w:rFonts w:ascii="Times New Roman" w:eastAsia="Times New Roman" w:hAnsi="Times New Roman" w:cs="Times New Roman"/>
                <w:b/>
                <w:bCs/>
                <w:sz w:val="24"/>
                <w:szCs w:val="24"/>
                <w:lang w:eastAsia="hr-HR"/>
              </w:rPr>
            </w:pPr>
          </w:p>
        </w:tc>
        <w:tc>
          <w:tcPr>
            <w:tcW w:w="4000" w:type="dxa"/>
            <w:tcBorders>
              <w:top w:val="nil"/>
              <w:left w:val="nil"/>
              <w:bottom w:val="nil"/>
              <w:right w:val="nil"/>
            </w:tcBorders>
            <w:noWrap/>
            <w:vAlign w:val="bottom"/>
            <w:hideMark/>
          </w:tcPr>
          <w:p w14:paraId="16F4D9C2"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UKUPNO PRIHODI/PRIMICI</w:t>
            </w:r>
          </w:p>
        </w:tc>
        <w:tc>
          <w:tcPr>
            <w:tcW w:w="1200" w:type="dxa"/>
            <w:tcBorders>
              <w:top w:val="nil"/>
              <w:left w:val="nil"/>
              <w:bottom w:val="nil"/>
              <w:right w:val="nil"/>
            </w:tcBorders>
            <w:noWrap/>
            <w:vAlign w:val="bottom"/>
            <w:hideMark/>
          </w:tcPr>
          <w:p w14:paraId="4A52B68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9.286.341,45</w:t>
            </w:r>
          </w:p>
        </w:tc>
        <w:tc>
          <w:tcPr>
            <w:tcW w:w="1200" w:type="dxa"/>
            <w:tcBorders>
              <w:top w:val="nil"/>
              <w:left w:val="nil"/>
              <w:bottom w:val="nil"/>
              <w:right w:val="nil"/>
            </w:tcBorders>
            <w:noWrap/>
            <w:vAlign w:val="bottom"/>
            <w:hideMark/>
          </w:tcPr>
          <w:p w14:paraId="623124B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9.472.070,00</w:t>
            </w:r>
          </w:p>
        </w:tc>
        <w:tc>
          <w:tcPr>
            <w:tcW w:w="1200" w:type="dxa"/>
            <w:tcBorders>
              <w:top w:val="nil"/>
              <w:left w:val="nil"/>
              <w:bottom w:val="nil"/>
              <w:right w:val="nil"/>
            </w:tcBorders>
            <w:noWrap/>
            <w:vAlign w:val="bottom"/>
            <w:hideMark/>
          </w:tcPr>
          <w:p w14:paraId="125A923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9.661.511,00</w:t>
            </w:r>
          </w:p>
        </w:tc>
      </w:tr>
      <w:tr w:rsidR="00375E84" w:rsidRPr="00375E84" w14:paraId="43E6CCC4" w14:textId="77777777" w:rsidTr="00375E84">
        <w:trPr>
          <w:trHeight w:val="255"/>
        </w:trPr>
        <w:tc>
          <w:tcPr>
            <w:tcW w:w="420" w:type="dxa"/>
            <w:tcBorders>
              <w:top w:val="nil"/>
              <w:left w:val="nil"/>
              <w:bottom w:val="nil"/>
              <w:right w:val="nil"/>
            </w:tcBorders>
            <w:noWrap/>
            <w:vAlign w:val="bottom"/>
            <w:hideMark/>
          </w:tcPr>
          <w:p w14:paraId="49D293B1"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w:t>
            </w:r>
          </w:p>
        </w:tc>
        <w:tc>
          <w:tcPr>
            <w:tcW w:w="4000" w:type="dxa"/>
            <w:tcBorders>
              <w:top w:val="nil"/>
              <w:left w:val="nil"/>
              <w:bottom w:val="nil"/>
              <w:right w:val="nil"/>
            </w:tcBorders>
            <w:vAlign w:val="bottom"/>
            <w:hideMark/>
          </w:tcPr>
          <w:p w14:paraId="2E78C67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poslovanja</w:t>
            </w:r>
          </w:p>
        </w:tc>
        <w:tc>
          <w:tcPr>
            <w:tcW w:w="1200" w:type="dxa"/>
            <w:tcBorders>
              <w:top w:val="nil"/>
              <w:left w:val="nil"/>
              <w:bottom w:val="nil"/>
              <w:right w:val="nil"/>
            </w:tcBorders>
            <w:noWrap/>
            <w:vAlign w:val="bottom"/>
            <w:hideMark/>
          </w:tcPr>
          <w:p w14:paraId="6A62A2E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7.398.662,00</w:t>
            </w:r>
          </w:p>
        </w:tc>
        <w:tc>
          <w:tcPr>
            <w:tcW w:w="1200" w:type="dxa"/>
            <w:tcBorders>
              <w:top w:val="nil"/>
              <w:left w:val="nil"/>
              <w:bottom w:val="nil"/>
              <w:right w:val="nil"/>
            </w:tcBorders>
            <w:noWrap/>
            <w:vAlign w:val="bottom"/>
            <w:hideMark/>
          </w:tcPr>
          <w:p w14:paraId="6510C31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7.546.637,00</w:t>
            </w:r>
          </w:p>
        </w:tc>
        <w:tc>
          <w:tcPr>
            <w:tcW w:w="1200" w:type="dxa"/>
            <w:tcBorders>
              <w:top w:val="nil"/>
              <w:left w:val="nil"/>
              <w:bottom w:val="nil"/>
              <w:right w:val="nil"/>
            </w:tcBorders>
            <w:noWrap/>
            <w:vAlign w:val="bottom"/>
            <w:hideMark/>
          </w:tcPr>
          <w:p w14:paraId="4F1A6D7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7.697.569,00</w:t>
            </w:r>
          </w:p>
        </w:tc>
      </w:tr>
      <w:tr w:rsidR="00375E84" w:rsidRPr="00375E84" w14:paraId="29C6038C" w14:textId="77777777" w:rsidTr="00375E84">
        <w:trPr>
          <w:trHeight w:val="255"/>
        </w:trPr>
        <w:tc>
          <w:tcPr>
            <w:tcW w:w="420" w:type="dxa"/>
            <w:tcBorders>
              <w:top w:val="nil"/>
              <w:left w:val="nil"/>
              <w:bottom w:val="nil"/>
              <w:right w:val="nil"/>
            </w:tcBorders>
            <w:noWrap/>
            <w:vAlign w:val="bottom"/>
            <w:hideMark/>
          </w:tcPr>
          <w:p w14:paraId="084A672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61</w:t>
            </w:r>
          </w:p>
        </w:tc>
        <w:tc>
          <w:tcPr>
            <w:tcW w:w="4000" w:type="dxa"/>
            <w:tcBorders>
              <w:top w:val="nil"/>
              <w:left w:val="nil"/>
              <w:bottom w:val="nil"/>
              <w:right w:val="nil"/>
            </w:tcBorders>
            <w:vAlign w:val="bottom"/>
            <w:hideMark/>
          </w:tcPr>
          <w:p w14:paraId="2964F95F"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poreza</w:t>
            </w:r>
          </w:p>
        </w:tc>
        <w:tc>
          <w:tcPr>
            <w:tcW w:w="1200" w:type="dxa"/>
            <w:tcBorders>
              <w:top w:val="nil"/>
              <w:left w:val="nil"/>
              <w:bottom w:val="nil"/>
              <w:right w:val="nil"/>
            </w:tcBorders>
            <w:noWrap/>
            <w:vAlign w:val="bottom"/>
            <w:hideMark/>
          </w:tcPr>
          <w:p w14:paraId="21BF8B0E"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1.295.000,00</w:t>
            </w:r>
          </w:p>
        </w:tc>
        <w:tc>
          <w:tcPr>
            <w:tcW w:w="1200" w:type="dxa"/>
            <w:tcBorders>
              <w:top w:val="nil"/>
              <w:left w:val="nil"/>
              <w:bottom w:val="nil"/>
              <w:right w:val="nil"/>
            </w:tcBorders>
            <w:noWrap/>
            <w:vAlign w:val="bottom"/>
            <w:hideMark/>
          </w:tcPr>
          <w:p w14:paraId="4C464DE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1.320.900,00</w:t>
            </w:r>
          </w:p>
        </w:tc>
        <w:tc>
          <w:tcPr>
            <w:tcW w:w="1200" w:type="dxa"/>
            <w:tcBorders>
              <w:top w:val="nil"/>
              <w:left w:val="nil"/>
              <w:bottom w:val="nil"/>
              <w:right w:val="nil"/>
            </w:tcBorders>
            <w:noWrap/>
            <w:vAlign w:val="bottom"/>
            <w:hideMark/>
          </w:tcPr>
          <w:p w14:paraId="4026C0F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1.347.318,00</w:t>
            </w:r>
          </w:p>
        </w:tc>
      </w:tr>
      <w:tr w:rsidR="00375E84" w:rsidRPr="00375E84" w14:paraId="5E519DB8" w14:textId="77777777" w:rsidTr="00375E84">
        <w:trPr>
          <w:trHeight w:val="255"/>
        </w:trPr>
        <w:tc>
          <w:tcPr>
            <w:tcW w:w="420" w:type="dxa"/>
            <w:tcBorders>
              <w:top w:val="nil"/>
              <w:left w:val="nil"/>
              <w:bottom w:val="nil"/>
              <w:right w:val="nil"/>
            </w:tcBorders>
            <w:noWrap/>
            <w:vAlign w:val="bottom"/>
            <w:hideMark/>
          </w:tcPr>
          <w:p w14:paraId="2C82EBB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63</w:t>
            </w:r>
          </w:p>
        </w:tc>
        <w:tc>
          <w:tcPr>
            <w:tcW w:w="4000" w:type="dxa"/>
            <w:tcBorders>
              <w:top w:val="nil"/>
              <w:left w:val="nil"/>
              <w:bottom w:val="nil"/>
              <w:right w:val="nil"/>
            </w:tcBorders>
            <w:vAlign w:val="bottom"/>
            <w:hideMark/>
          </w:tcPr>
          <w:p w14:paraId="359903B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Pomoći iz inozemstva i od subjekata unutar općeg proračuna</w:t>
            </w:r>
          </w:p>
        </w:tc>
        <w:tc>
          <w:tcPr>
            <w:tcW w:w="1200" w:type="dxa"/>
            <w:tcBorders>
              <w:top w:val="nil"/>
              <w:left w:val="nil"/>
              <w:bottom w:val="nil"/>
              <w:right w:val="nil"/>
            </w:tcBorders>
            <w:noWrap/>
            <w:vAlign w:val="bottom"/>
            <w:hideMark/>
          </w:tcPr>
          <w:p w14:paraId="4A2FC36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5.191.156,00</w:t>
            </w:r>
          </w:p>
        </w:tc>
        <w:tc>
          <w:tcPr>
            <w:tcW w:w="1200" w:type="dxa"/>
            <w:tcBorders>
              <w:top w:val="nil"/>
              <w:left w:val="nil"/>
              <w:bottom w:val="nil"/>
              <w:right w:val="nil"/>
            </w:tcBorders>
            <w:noWrap/>
            <w:vAlign w:val="bottom"/>
            <w:hideMark/>
          </w:tcPr>
          <w:p w14:paraId="2568AE1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5.294.980,00</w:t>
            </w:r>
          </w:p>
        </w:tc>
        <w:tc>
          <w:tcPr>
            <w:tcW w:w="1200" w:type="dxa"/>
            <w:tcBorders>
              <w:top w:val="nil"/>
              <w:left w:val="nil"/>
              <w:bottom w:val="nil"/>
              <w:right w:val="nil"/>
            </w:tcBorders>
            <w:noWrap/>
            <w:vAlign w:val="bottom"/>
            <w:hideMark/>
          </w:tcPr>
          <w:p w14:paraId="3BEBC0D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5.400.881,00</w:t>
            </w:r>
          </w:p>
        </w:tc>
      </w:tr>
      <w:tr w:rsidR="00375E84" w:rsidRPr="00375E84" w14:paraId="19E67294" w14:textId="77777777" w:rsidTr="00375E84">
        <w:trPr>
          <w:trHeight w:val="255"/>
        </w:trPr>
        <w:tc>
          <w:tcPr>
            <w:tcW w:w="420" w:type="dxa"/>
            <w:tcBorders>
              <w:top w:val="nil"/>
              <w:left w:val="nil"/>
              <w:bottom w:val="nil"/>
              <w:right w:val="nil"/>
            </w:tcBorders>
            <w:noWrap/>
            <w:vAlign w:val="bottom"/>
            <w:hideMark/>
          </w:tcPr>
          <w:p w14:paraId="7C1C7CB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64</w:t>
            </w:r>
          </w:p>
        </w:tc>
        <w:tc>
          <w:tcPr>
            <w:tcW w:w="4000" w:type="dxa"/>
            <w:tcBorders>
              <w:top w:val="nil"/>
              <w:left w:val="nil"/>
              <w:bottom w:val="nil"/>
              <w:right w:val="nil"/>
            </w:tcBorders>
            <w:vAlign w:val="bottom"/>
            <w:hideMark/>
          </w:tcPr>
          <w:p w14:paraId="6BE9C01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imovine</w:t>
            </w:r>
          </w:p>
        </w:tc>
        <w:tc>
          <w:tcPr>
            <w:tcW w:w="1200" w:type="dxa"/>
            <w:tcBorders>
              <w:top w:val="nil"/>
              <w:left w:val="nil"/>
              <w:bottom w:val="nil"/>
              <w:right w:val="nil"/>
            </w:tcBorders>
            <w:noWrap/>
            <w:vAlign w:val="bottom"/>
            <w:hideMark/>
          </w:tcPr>
          <w:p w14:paraId="017B080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201.455,00</w:t>
            </w:r>
          </w:p>
        </w:tc>
        <w:tc>
          <w:tcPr>
            <w:tcW w:w="1200" w:type="dxa"/>
            <w:tcBorders>
              <w:top w:val="nil"/>
              <w:left w:val="nil"/>
              <w:bottom w:val="nil"/>
              <w:right w:val="nil"/>
            </w:tcBorders>
            <w:noWrap/>
            <w:vAlign w:val="bottom"/>
            <w:hideMark/>
          </w:tcPr>
          <w:p w14:paraId="67EEB32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205.484,00</w:t>
            </w:r>
          </w:p>
        </w:tc>
        <w:tc>
          <w:tcPr>
            <w:tcW w:w="1200" w:type="dxa"/>
            <w:tcBorders>
              <w:top w:val="nil"/>
              <w:left w:val="nil"/>
              <w:bottom w:val="nil"/>
              <w:right w:val="nil"/>
            </w:tcBorders>
            <w:noWrap/>
            <w:vAlign w:val="bottom"/>
            <w:hideMark/>
          </w:tcPr>
          <w:p w14:paraId="4B5BC02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209.593,00</w:t>
            </w:r>
          </w:p>
        </w:tc>
      </w:tr>
      <w:tr w:rsidR="00375E84" w:rsidRPr="00375E84" w14:paraId="13C5FBE6" w14:textId="77777777" w:rsidTr="00375E84">
        <w:trPr>
          <w:trHeight w:val="510"/>
        </w:trPr>
        <w:tc>
          <w:tcPr>
            <w:tcW w:w="420" w:type="dxa"/>
            <w:tcBorders>
              <w:top w:val="nil"/>
              <w:left w:val="nil"/>
              <w:bottom w:val="nil"/>
              <w:right w:val="nil"/>
            </w:tcBorders>
            <w:noWrap/>
            <w:vAlign w:val="bottom"/>
            <w:hideMark/>
          </w:tcPr>
          <w:p w14:paraId="38C6614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65</w:t>
            </w:r>
          </w:p>
        </w:tc>
        <w:tc>
          <w:tcPr>
            <w:tcW w:w="4000" w:type="dxa"/>
            <w:tcBorders>
              <w:top w:val="nil"/>
              <w:left w:val="nil"/>
              <w:bottom w:val="nil"/>
              <w:right w:val="nil"/>
            </w:tcBorders>
            <w:vAlign w:val="bottom"/>
            <w:hideMark/>
          </w:tcPr>
          <w:p w14:paraId="2D8E752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upravnih i administrativnih pristojbi, pristojbi po posebnim propisima i naknada</w:t>
            </w:r>
          </w:p>
        </w:tc>
        <w:tc>
          <w:tcPr>
            <w:tcW w:w="1200" w:type="dxa"/>
            <w:tcBorders>
              <w:top w:val="nil"/>
              <w:left w:val="nil"/>
              <w:bottom w:val="nil"/>
              <w:right w:val="nil"/>
            </w:tcBorders>
            <w:noWrap/>
            <w:vAlign w:val="bottom"/>
            <w:hideMark/>
          </w:tcPr>
          <w:p w14:paraId="4D32026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670.951,00</w:t>
            </w:r>
          </w:p>
        </w:tc>
        <w:tc>
          <w:tcPr>
            <w:tcW w:w="1200" w:type="dxa"/>
            <w:tcBorders>
              <w:top w:val="nil"/>
              <w:left w:val="nil"/>
              <w:bottom w:val="nil"/>
              <w:right w:val="nil"/>
            </w:tcBorders>
            <w:noWrap/>
            <w:vAlign w:val="bottom"/>
            <w:hideMark/>
          </w:tcPr>
          <w:p w14:paraId="12933F6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684.371,00</w:t>
            </w:r>
          </w:p>
        </w:tc>
        <w:tc>
          <w:tcPr>
            <w:tcW w:w="1200" w:type="dxa"/>
            <w:tcBorders>
              <w:top w:val="nil"/>
              <w:left w:val="nil"/>
              <w:bottom w:val="nil"/>
              <w:right w:val="nil"/>
            </w:tcBorders>
            <w:noWrap/>
            <w:vAlign w:val="bottom"/>
            <w:hideMark/>
          </w:tcPr>
          <w:p w14:paraId="35F504C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698.057,00</w:t>
            </w:r>
          </w:p>
        </w:tc>
      </w:tr>
      <w:tr w:rsidR="00375E84" w:rsidRPr="00375E84" w14:paraId="20DCBA7B" w14:textId="77777777" w:rsidTr="00375E84">
        <w:trPr>
          <w:trHeight w:val="510"/>
        </w:trPr>
        <w:tc>
          <w:tcPr>
            <w:tcW w:w="420" w:type="dxa"/>
            <w:tcBorders>
              <w:top w:val="nil"/>
              <w:left w:val="nil"/>
              <w:bottom w:val="nil"/>
              <w:right w:val="nil"/>
            </w:tcBorders>
            <w:noWrap/>
            <w:vAlign w:val="bottom"/>
            <w:hideMark/>
          </w:tcPr>
          <w:p w14:paraId="2D5D6EB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66</w:t>
            </w:r>
          </w:p>
        </w:tc>
        <w:tc>
          <w:tcPr>
            <w:tcW w:w="4000" w:type="dxa"/>
            <w:tcBorders>
              <w:top w:val="nil"/>
              <w:left w:val="nil"/>
              <w:bottom w:val="nil"/>
              <w:right w:val="nil"/>
            </w:tcBorders>
            <w:vAlign w:val="bottom"/>
            <w:hideMark/>
          </w:tcPr>
          <w:p w14:paraId="746D12E2"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prodaje proizvoda i robe te pruženih usluga, prihodi od donacija te povrati po protestira</w:t>
            </w:r>
          </w:p>
        </w:tc>
        <w:tc>
          <w:tcPr>
            <w:tcW w:w="1200" w:type="dxa"/>
            <w:tcBorders>
              <w:top w:val="nil"/>
              <w:left w:val="nil"/>
              <w:bottom w:val="nil"/>
              <w:right w:val="nil"/>
            </w:tcBorders>
            <w:noWrap/>
            <w:vAlign w:val="bottom"/>
            <w:hideMark/>
          </w:tcPr>
          <w:p w14:paraId="177A4EF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4A34B5C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632F18F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r>
      <w:tr w:rsidR="00375E84" w:rsidRPr="00375E84" w14:paraId="26D47FDF" w14:textId="77777777" w:rsidTr="00375E84">
        <w:trPr>
          <w:trHeight w:val="255"/>
        </w:trPr>
        <w:tc>
          <w:tcPr>
            <w:tcW w:w="420" w:type="dxa"/>
            <w:tcBorders>
              <w:top w:val="nil"/>
              <w:left w:val="nil"/>
              <w:bottom w:val="nil"/>
              <w:right w:val="nil"/>
            </w:tcBorders>
            <w:noWrap/>
            <w:vAlign w:val="bottom"/>
            <w:hideMark/>
          </w:tcPr>
          <w:p w14:paraId="4EEACDDC"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68</w:t>
            </w:r>
          </w:p>
        </w:tc>
        <w:tc>
          <w:tcPr>
            <w:tcW w:w="4000" w:type="dxa"/>
            <w:tcBorders>
              <w:top w:val="nil"/>
              <w:left w:val="nil"/>
              <w:bottom w:val="nil"/>
              <w:right w:val="nil"/>
            </w:tcBorders>
            <w:vAlign w:val="bottom"/>
            <w:hideMark/>
          </w:tcPr>
          <w:p w14:paraId="20E84E3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Kazne, upravne mjere i ostali prihodi</w:t>
            </w:r>
          </w:p>
        </w:tc>
        <w:tc>
          <w:tcPr>
            <w:tcW w:w="1200" w:type="dxa"/>
            <w:tcBorders>
              <w:top w:val="nil"/>
              <w:left w:val="nil"/>
              <w:bottom w:val="nil"/>
              <w:right w:val="nil"/>
            </w:tcBorders>
            <w:noWrap/>
            <w:vAlign w:val="bottom"/>
            <w:hideMark/>
          </w:tcPr>
          <w:p w14:paraId="0B0D269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40.100,00</w:t>
            </w:r>
          </w:p>
        </w:tc>
        <w:tc>
          <w:tcPr>
            <w:tcW w:w="1200" w:type="dxa"/>
            <w:tcBorders>
              <w:top w:val="nil"/>
              <w:left w:val="nil"/>
              <w:bottom w:val="nil"/>
              <w:right w:val="nil"/>
            </w:tcBorders>
            <w:noWrap/>
            <w:vAlign w:val="bottom"/>
            <w:hideMark/>
          </w:tcPr>
          <w:p w14:paraId="128D3DF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40.902,00</w:t>
            </w:r>
          </w:p>
        </w:tc>
        <w:tc>
          <w:tcPr>
            <w:tcW w:w="1200" w:type="dxa"/>
            <w:tcBorders>
              <w:top w:val="nil"/>
              <w:left w:val="nil"/>
              <w:bottom w:val="nil"/>
              <w:right w:val="nil"/>
            </w:tcBorders>
            <w:noWrap/>
            <w:vAlign w:val="bottom"/>
            <w:hideMark/>
          </w:tcPr>
          <w:p w14:paraId="4F8E72BC"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41.720,00</w:t>
            </w:r>
          </w:p>
        </w:tc>
      </w:tr>
      <w:tr w:rsidR="00375E84" w:rsidRPr="00375E84" w14:paraId="0B6FDFE2" w14:textId="77777777" w:rsidTr="00375E84">
        <w:trPr>
          <w:trHeight w:val="255"/>
        </w:trPr>
        <w:tc>
          <w:tcPr>
            <w:tcW w:w="420" w:type="dxa"/>
            <w:tcBorders>
              <w:top w:val="nil"/>
              <w:left w:val="nil"/>
              <w:bottom w:val="nil"/>
              <w:right w:val="nil"/>
            </w:tcBorders>
            <w:noWrap/>
            <w:vAlign w:val="bottom"/>
            <w:hideMark/>
          </w:tcPr>
          <w:p w14:paraId="413A653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w:t>
            </w:r>
          </w:p>
        </w:tc>
        <w:tc>
          <w:tcPr>
            <w:tcW w:w="4000" w:type="dxa"/>
            <w:tcBorders>
              <w:top w:val="nil"/>
              <w:left w:val="nil"/>
              <w:bottom w:val="nil"/>
              <w:right w:val="nil"/>
            </w:tcBorders>
            <w:vAlign w:val="bottom"/>
            <w:hideMark/>
          </w:tcPr>
          <w:p w14:paraId="784A4C6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prodaje nefinancijske imovine</w:t>
            </w:r>
          </w:p>
        </w:tc>
        <w:tc>
          <w:tcPr>
            <w:tcW w:w="1200" w:type="dxa"/>
            <w:tcBorders>
              <w:top w:val="nil"/>
              <w:left w:val="nil"/>
              <w:bottom w:val="nil"/>
              <w:right w:val="nil"/>
            </w:tcBorders>
            <w:noWrap/>
            <w:vAlign w:val="bottom"/>
            <w:hideMark/>
          </w:tcPr>
          <w:p w14:paraId="55618ED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45.000,00</w:t>
            </w:r>
          </w:p>
        </w:tc>
        <w:tc>
          <w:tcPr>
            <w:tcW w:w="1200" w:type="dxa"/>
            <w:tcBorders>
              <w:top w:val="nil"/>
              <w:left w:val="nil"/>
              <w:bottom w:val="nil"/>
              <w:right w:val="nil"/>
            </w:tcBorders>
            <w:noWrap/>
            <w:vAlign w:val="bottom"/>
            <w:hideMark/>
          </w:tcPr>
          <w:p w14:paraId="1AB29BE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45.900,00</w:t>
            </w:r>
          </w:p>
        </w:tc>
        <w:tc>
          <w:tcPr>
            <w:tcW w:w="1200" w:type="dxa"/>
            <w:tcBorders>
              <w:top w:val="nil"/>
              <w:left w:val="nil"/>
              <w:bottom w:val="nil"/>
              <w:right w:val="nil"/>
            </w:tcBorders>
            <w:noWrap/>
            <w:vAlign w:val="bottom"/>
            <w:hideMark/>
          </w:tcPr>
          <w:p w14:paraId="51141B8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46.818,00</w:t>
            </w:r>
          </w:p>
        </w:tc>
      </w:tr>
      <w:tr w:rsidR="00375E84" w:rsidRPr="00375E84" w14:paraId="2C293139" w14:textId="77777777" w:rsidTr="00375E84">
        <w:trPr>
          <w:trHeight w:val="255"/>
        </w:trPr>
        <w:tc>
          <w:tcPr>
            <w:tcW w:w="420" w:type="dxa"/>
            <w:tcBorders>
              <w:top w:val="nil"/>
              <w:left w:val="nil"/>
              <w:bottom w:val="nil"/>
              <w:right w:val="nil"/>
            </w:tcBorders>
            <w:noWrap/>
            <w:vAlign w:val="bottom"/>
            <w:hideMark/>
          </w:tcPr>
          <w:p w14:paraId="5DECA78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71</w:t>
            </w:r>
          </w:p>
        </w:tc>
        <w:tc>
          <w:tcPr>
            <w:tcW w:w="4000" w:type="dxa"/>
            <w:tcBorders>
              <w:top w:val="nil"/>
              <w:left w:val="nil"/>
              <w:bottom w:val="nil"/>
              <w:right w:val="nil"/>
            </w:tcBorders>
            <w:vAlign w:val="bottom"/>
            <w:hideMark/>
          </w:tcPr>
          <w:p w14:paraId="5AE402B7"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 xml:space="preserve">Prihodi od prodaje </w:t>
            </w:r>
            <w:proofErr w:type="spellStart"/>
            <w:r w:rsidRPr="00375E84">
              <w:rPr>
                <w:rFonts w:ascii="Times New Roman" w:eastAsia="Times New Roman" w:hAnsi="Times New Roman" w:cs="Times New Roman"/>
                <w:sz w:val="24"/>
                <w:szCs w:val="24"/>
                <w:lang w:eastAsia="hr-HR"/>
              </w:rPr>
              <w:t>neproizvedene</w:t>
            </w:r>
            <w:proofErr w:type="spellEnd"/>
            <w:r w:rsidRPr="00375E84">
              <w:rPr>
                <w:rFonts w:ascii="Times New Roman" w:eastAsia="Times New Roman" w:hAnsi="Times New Roman" w:cs="Times New Roman"/>
                <w:sz w:val="24"/>
                <w:szCs w:val="24"/>
                <w:lang w:eastAsia="hr-HR"/>
              </w:rPr>
              <w:t xml:space="preserve"> dugotrajne imovine</w:t>
            </w:r>
          </w:p>
        </w:tc>
        <w:tc>
          <w:tcPr>
            <w:tcW w:w="1200" w:type="dxa"/>
            <w:tcBorders>
              <w:top w:val="nil"/>
              <w:left w:val="nil"/>
              <w:bottom w:val="nil"/>
              <w:right w:val="nil"/>
            </w:tcBorders>
            <w:noWrap/>
            <w:vAlign w:val="bottom"/>
            <w:hideMark/>
          </w:tcPr>
          <w:p w14:paraId="78491F6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5.000,00</w:t>
            </w:r>
          </w:p>
        </w:tc>
        <w:tc>
          <w:tcPr>
            <w:tcW w:w="1200" w:type="dxa"/>
            <w:tcBorders>
              <w:top w:val="nil"/>
              <w:left w:val="nil"/>
              <w:bottom w:val="nil"/>
              <w:right w:val="nil"/>
            </w:tcBorders>
            <w:noWrap/>
            <w:vAlign w:val="bottom"/>
            <w:hideMark/>
          </w:tcPr>
          <w:p w14:paraId="284705C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5.100,00</w:t>
            </w:r>
          </w:p>
        </w:tc>
        <w:tc>
          <w:tcPr>
            <w:tcW w:w="1200" w:type="dxa"/>
            <w:tcBorders>
              <w:top w:val="nil"/>
              <w:left w:val="nil"/>
              <w:bottom w:val="nil"/>
              <w:right w:val="nil"/>
            </w:tcBorders>
            <w:noWrap/>
            <w:vAlign w:val="bottom"/>
            <w:hideMark/>
          </w:tcPr>
          <w:p w14:paraId="47B5FFF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5.202,00</w:t>
            </w:r>
          </w:p>
        </w:tc>
      </w:tr>
      <w:tr w:rsidR="00375E84" w:rsidRPr="00375E84" w14:paraId="315A52F0" w14:textId="77777777" w:rsidTr="00375E84">
        <w:trPr>
          <w:trHeight w:val="255"/>
        </w:trPr>
        <w:tc>
          <w:tcPr>
            <w:tcW w:w="420" w:type="dxa"/>
            <w:tcBorders>
              <w:top w:val="nil"/>
              <w:left w:val="nil"/>
              <w:bottom w:val="nil"/>
              <w:right w:val="nil"/>
            </w:tcBorders>
            <w:noWrap/>
            <w:vAlign w:val="bottom"/>
            <w:hideMark/>
          </w:tcPr>
          <w:p w14:paraId="43521BA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72</w:t>
            </w:r>
          </w:p>
        </w:tc>
        <w:tc>
          <w:tcPr>
            <w:tcW w:w="4000" w:type="dxa"/>
            <w:tcBorders>
              <w:top w:val="nil"/>
              <w:left w:val="nil"/>
              <w:bottom w:val="nil"/>
              <w:right w:val="nil"/>
            </w:tcBorders>
            <w:vAlign w:val="bottom"/>
            <w:hideMark/>
          </w:tcPr>
          <w:p w14:paraId="3FFC3F4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Prihodi od prodaje proizvedene dugotrajne imovine</w:t>
            </w:r>
          </w:p>
        </w:tc>
        <w:tc>
          <w:tcPr>
            <w:tcW w:w="1200" w:type="dxa"/>
            <w:tcBorders>
              <w:top w:val="nil"/>
              <w:left w:val="nil"/>
              <w:bottom w:val="nil"/>
              <w:right w:val="nil"/>
            </w:tcBorders>
            <w:noWrap/>
            <w:vAlign w:val="bottom"/>
            <w:hideMark/>
          </w:tcPr>
          <w:p w14:paraId="4B1507B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40.000,00</w:t>
            </w:r>
          </w:p>
        </w:tc>
        <w:tc>
          <w:tcPr>
            <w:tcW w:w="1200" w:type="dxa"/>
            <w:tcBorders>
              <w:top w:val="nil"/>
              <w:left w:val="nil"/>
              <w:bottom w:val="nil"/>
              <w:right w:val="nil"/>
            </w:tcBorders>
            <w:noWrap/>
            <w:vAlign w:val="bottom"/>
            <w:hideMark/>
          </w:tcPr>
          <w:p w14:paraId="00D6182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40.800,00</w:t>
            </w:r>
          </w:p>
        </w:tc>
        <w:tc>
          <w:tcPr>
            <w:tcW w:w="1200" w:type="dxa"/>
            <w:tcBorders>
              <w:top w:val="nil"/>
              <w:left w:val="nil"/>
              <w:bottom w:val="nil"/>
              <w:right w:val="nil"/>
            </w:tcBorders>
            <w:noWrap/>
            <w:vAlign w:val="bottom"/>
            <w:hideMark/>
          </w:tcPr>
          <w:p w14:paraId="30686E4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41.616,00</w:t>
            </w:r>
          </w:p>
        </w:tc>
      </w:tr>
      <w:tr w:rsidR="00375E84" w:rsidRPr="00375E84" w14:paraId="2A86262F" w14:textId="77777777" w:rsidTr="00375E84">
        <w:trPr>
          <w:trHeight w:val="255"/>
        </w:trPr>
        <w:tc>
          <w:tcPr>
            <w:tcW w:w="420" w:type="dxa"/>
            <w:tcBorders>
              <w:top w:val="nil"/>
              <w:left w:val="nil"/>
              <w:bottom w:val="nil"/>
              <w:right w:val="nil"/>
            </w:tcBorders>
            <w:noWrap/>
            <w:vAlign w:val="bottom"/>
            <w:hideMark/>
          </w:tcPr>
          <w:p w14:paraId="712C7D51"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w:t>
            </w:r>
          </w:p>
        </w:tc>
        <w:tc>
          <w:tcPr>
            <w:tcW w:w="4000" w:type="dxa"/>
            <w:tcBorders>
              <w:top w:val="nil"/>
              <w:left w:val="nil"/>
              <w:bottom w:val="nil"/>
              <w:right w:val="nil"/>
            </w:tcBorders>
            <w:vAlign w:val="bottom"/>
            <w:hideMark/>
          </w:tcPr>
          <w:p w14:paraId="52D0707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Vlastiti izvori</w:t>
            </w:r>
          </w:p>
        </w:tc>
        <w:tc>
          <w:tcPr>
            <w:tcW w:w="1200" w:type="dxa"/>
            <w:tcBorders>
              <w:top w:val="nil"/>
              <w:left w:val="nil"/>
              <w:bottom w:val="nil"/>
              <w:right w:val="nil"/>
            </w:tcBorders>
            <w:noWrap/>
            <w:vAlign w:val="bottom"/>
            <w:hideMark/>
          </w:tcPr>
          <w:p w14:paraId="21786EC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1.842.679,45</w:t>
            </w:r>
          </w:p>
        </w:tc>
        <w:tc>
          <w:tcPr>
            <w:tcW w:w="1200" w:type="dxa"/>
            <w:tcBorders>
              <w:top w:val="nil"/>
              <w:left w:val="nil"/>
              <w:bottom w:val="nil"/>
              <w:right w:val="nil"/>
            </w:tcBorders>
            <w:noWrap/>
            <w:vAlign w:val="bottom"/>
            <w:hideMark/>
          </w:tcPr>
          <w:p w14:paraId="243DF24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1.879.533,00</w:t>
            </w:r>
          </w:p>
        </w:tc>
        <w:tc>
          <w:tcPr>
            <w:tcW w:w="1200" w:type="dxa"/>
            <w:tcBorders>
              <w:top w:val="nil"/>
              <w:left w:val="nil"/>
              <w:bottom w:val="nil"/>
              <w:right w:val="nil"/>
            </w:tcBorders>
            <w:noWrap/>
            <w:vAlign w:val="bottom"/>
            <w:hideMark/>
          </w:tcPr>
          <w:p w14:paraId="7784538C"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1.917.124,00</w:t>
            </w:r>
          </w:p>
        </w:tc>
      </w:tr>
      <w:tr w:rsidR="00375E84" w:rsidRPr="00375E84" w14:paraId="49C3CA85" w14:textId="77777777" w:rsidTr="00375E84">
        <w:trPr>
          <w:trHeight w:val="255"/>
        </w:trPr>
        <w:tc>
          <w:tcPr>
            <w:tcW w:w="420" w:type="dxa"/>
            <w:tcBorders>
              <w:top w:val="nil"/>
              <w:left w:val="nil"/>
              <w:bottom w:val="nil"/>
              <w:right w:val="nil"/>
            </w:tcBorders>
            <w:noWrap/>
            <w:vAlign w:val="bottom"/>
            <w:hideMark/>
          </w:tcPr>
          <w:p w14:paraId="7773AA8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w:t>
            </w:r>
          </w:p>
        </w:tc>
        <w:tc>
          <w:tcPr>
            <w:tcW w:w="4000" w:type="dxa"/>
            <w:tcBorders>
              <w:top w:val="nil"/>
              <w:left w:val="nil"/>
              <w:bottom w:val="nil"/>
              <w:right w:val="nil"/>
            </w:tcBorders>
            <w:vAlign w:val="bottom"/>
            <w:hideMark/>
          </w:tcPr>
          <w:p w14:paraId="2B619B2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Rezultat poslovanja</w:t>
            </w:r>
          </w:p>
        </w:tc>
        <w:tc>
          <w:tcPr>
            <w:tcW w:w="1200" w:type="dxa"/>
            <w:tcBorders>
              <w:top w:val="nil"/>
              <w:left w:val="nil"/>
              <w:bottom w:val="nil"/>
              <w:right w:val="nil"/>
            </w:tcBorders>
            <w:noWrap/>
            <w:vAlign w:val="bottom"/>
            <w:hideMark/>
          </w:tcPr>
          <w:p w14:paraId="5A8A74F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1.842.679,45</w:t>
            </w:r>
          </w:p>
        </w:tc>
        <w:tc>
          <w:tcPr>
            <w:tcW w:w="1200" w:type="dxa"/>
            <w:tcBorders>
              <w:top w:val="nil"/>
              <w:left w:val="nil"/>
              <w:bottom w:val="nil"/>
              <w:right w:val="nil"/>
            </w:tcBorders>
            <w:noWrap/>
            <w:vAlign w:val="bottom"/>
            <w:hideMark/>
          </w:tcPr>
          <w:p w14:paraId="0CB7333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1.879.533,00</w:t>
            </w:r>
          </w:p>
        </w:tc>
        <w:tc>
          <w:tcPr>
            <w:tcW w:w="1200" w:type="dxa"/>
            <w:tcBorders>
              <w:top w:val="nil"/>
              <w:left w:val="nil"/>
              <w:bottom w:val="nil"/>
              <w:right w:val="nil"/>
            </w:tcBorders>
            <w:noWrap/>
            <w:vAlign w:val="bottom"/>
            <w:hideMark/>
          </w:tcPr>
          <w:p w14:paraId="6B34203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1.917.124,00</w:t>
            </w:r>
          </w:p>
        </w:tc>
      </w:tr>
      <w:tr w:rsidR="00375E84" w:rsidRPr="00375E84" w14:paraId="6E6112FE" w14:textId="77777777" w:rsidTr="00375E84">
        <w:trPr>
          <w:trHeight w:val="255"/>
        </w:trPr>
        <w:tc>
          <w:tcPr>
            <w:tcW w:w="420" w:type="dxa"/>
            <w:tcBorders>
              <w:top w:val="nil"/>
              <w:left w:val="nil"/>
              <w:bottom w:val="nil"/>
              <w:right w:val="nil"/>
            </w:tcBorders>
            <w:noWrap/>
            <w:vAlign w:val="bottom"/>
            <w:hideMark/>
          </w:tcPr>
          <w:p w14:paraId="773D3E8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p>
        </w:tc>
        <w:tc>
          <w:tcPr>
            <w:tcW w:w="4000" w:type="dxa"/>
            <w:tcBorders>
              <w:top w:val="nil"/>
              <w:left w:val="nil"/>
              <w:bottom w:val="nil"/>
              <w:right w:val="nil"/>
            </w:tcBorders>
            <w:vAlign w:val="bottom"/>
            <w:hideMark/>
          </w:tcPr>
          <w:p w14:paraId="0394EF0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UKUPNO RASHODI/IZDACI</w:t>
            </w:r>
          </w:p>
        </w:tc>
        <w:tc>
          <w:tcPr>
            <w:tcW w:w="1200" w:type="dxa"/>
            <w:tcBorders>
              <w:top w:val="nil"/>
              <w:left w:val="nil"/>
              <w:bottom w:val="nil"/>
              <w:right w:val="nil"/>
            </w:tcBorders>
            <w:noWrap/>
            <w:vAlign w:val="bottom"/>
            <w:hideMark/>
          </w:tcPr>
          <w:p w14:paraId="03A2B0B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9.286.341,45</w:t>
            </w:r>
          </w:p>
        </w:tc>
        <w:tc>
          <w:tcPr>
            <w:tcW w:w="1200" w:type="dxa"/>
            <w:tcBorders>
              <w:top w:val="nil"/>
              <w:left w:val="nil"/>
              <w:bottom w:val="nil"/>
              <w:right w:val="nil"/>
            </w:tcBorders>
            <w:noWrap/>
            <w:vAlign w:val="bottom"/>
            <w:hideMark/>
          </w:tcPr>
          <w:p w14:paraId="1361454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9.472.070,00</w:t>
            </w:r>
          </w:p>
        </w:tc>
        <w:tc>
          <w:tcPr>
            <w:tcW w:w="1200" w:type="dxa"/>
            <w:tcBorders>
              <w:top w:val="nil"/>
              <w:left w:val="nil"/>
              <w:bottom w:val="nil"/>
              <w:right w:val="nil"/>
            </w:tcBorders>
            <w:noWrap/>
            <w:vAlign w:val="bottom"/>
            <w:hideMark/>
          </w:tcPr>
          <w:p w14:paraId="15AB798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9.661.511,00</w:t>
            </w:r>
          </w:p>
        </w:tc>
      </w:tr>
      <w:tr w:rsidR="00375E84" w:rsidRPr="00375E84" w14:paraId="2C6339C0" w14:textId="77777777" w:rsidTr="00375E84">
        <w:trPr>
          <w:trHeight w:val="255"/>
        </w:trPr>
        <w:tc>
          <w:tcPr>
            <w:tcW w:w="420" w:type="dxa"/>
            <w:tcBorders>
              <w:top w:val="nil"/>
              <w:left w:val="nil"/>
              <w:bottom w:val="nil"/>
              <w:right w:val="nil"/>
            </w:tcBorders>
            <w:noWrap/>
            <w:vAlign w:val="bottom"/>
            <w:hideMark/>
          </w:tcPr>
          <w:p w14:paraId="1D227EE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w:t>
            </w:r>
          </w:p>
        </w:tc>
        <w:tc>
          <w:tcPr>
            <w:tcW w:w="4000" w:type="dxa"/>
            <w:tcBorders>
              <w:top w:val="nil"/>
              <w:left w:val="nil"/>
              <w:bottom w:val="nil"/>
              <w:right w:val="nil"/>
            </w:tcBorders>
            <w:vAlign w:val="bottom"/>
            <w:hideMark/>
          </w:tcPr>
          <w:p w14:paraId="4F6B3BA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poslovanja</w:t>
            </w:r>
          </w:p>
        </w:tc>
        <w:tc>
          <w:tcPr>
            <w:tcW w:w="1200" w:type="dxa"/>
            <w:tcBorders>
              <w:top w:val="nil"/>
              <w:left w:val="nil"/>
              <w:bottom w:val="nil"/>
              <w:right w:val="nil"/>
            </w:tcBorders>
            <w:noWrap/>
            <w:vAlign w:val="bottom"/>
            <w:hideMark/>
          </w:tcPr>
          <w:p w14:paraId="5FDC90C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3.331.299,00</w:t>
            </w:r>
          </w:p>
        </w:tc>
        <w:tc>
          <w:tcPr>
            <w:tcW w:w="1200" w:type="dxa"/>
            <w:tcBorders>
              <w:top w:val="nil"/>
              <w:left w:val="nil"/>
              <w:bottom w:val="nil"/>
              <w:right w:val="nil"/>
            </w:tcBorders>
            <w:noWrap/>
            <w:vAlign w:val="bottom"/>
            <w:hideMark/>
          </w:tcPr>
          <w:p w14:paraId="2BAAAF4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3.397.926,00</w:t>
            </w:r>
          </w:p>
        </w:tc>
        <w:tc>
          <w:tcPr>
            <w:tcW w:w="1200" w:type="dxa"/>
            <w:tcBorders>
              <w:top w:val="nil"/>
              <w:left w:val="nil"/>
              <w:bottom w:val="nil"/>
              <w:right w:val="nil"/>
            </w:tcBorders>
            <w:noWrap/>
            <w:vAlign w:val="bottom"/>
            <w:hideMark/>
          </w:tcPr>
          <w:p w14:paraId="4E123AB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3.465.881,00</w:t>
            </w:r>
          </w:p>
        </w:tc>
      </w:tr>
      <w:tr w:rsidR="00375E84" w:rsidRPr="00375E84" w14:paraId="4E1D5970" w14:textId="77777777" w:rsidTr="00375E84">
        <w:trPr>
          <w:trHeight w:val="255"/>
        </w:trPr>
        <w:tc>
          <w:tcPr>
            <w:tcW w:w="420" w:type="dxa"/>
            <w:tcBorders>
              <w:top w:val="nil"/>
              <w:left w:val="nil"/>
              <w:bottom w:val="nil"/>
              <w:right w:val="nil"/>
            </w:tcBorders>
            <w:noWrap/>
            <w:vAlign w:val="bottom"/>
            <w:hideMark/>
          </w:tcPr>
          <w:p w14:paraId="75AB4839"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31</w:t>
            </w:r>
          </w:p>
        </w:tc>
        <w:tc>
          <w:tcPr>
            <w:tcW w:w="4000" w:type="dxa"/>
            <w:tcBorders>
              <w:top w:val="nil"/>
              <w:left w:val="nil"/>
              <w:bottom w:val="nil"/>
              <w:right w:val="nil"/>
            </w:tcBorders>
            <w:vAlign w:val="bottom"/>
            <w:hideMark/>
          </w:tcPr>
          <w:p w14:paraId="46FEABDE"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zaposlene</w:t>
            </w:r>
          </w:p>
        </w:tc>
        <w:tc>
          <w:tcPr>
            <w:tcW w:w="1200" w:type="dxa"/>
            <w:tcBorders>
              <w:top w:val="nil"/>
              <w:left w:val="nil"/>
              <w:bottom w:val="nil"/>
              <w:right w:val="nil"/>
            </w:tcBorders>
            <w:noWrap/>
            <w:vAlign w:val="bottom"/>
            <w:hideMark/>
          </w:tcPr>
          <w:p w14:paraId="3314328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887.937,00</w:t>
            </w:r>
          </w:p>
        </w:tc>
        <w:tc>
          <w:tcPr>
            <w:tcW w:w="1200" w:type="dxa"/>
            <w:tcBorders>
              <w:top w:val="nil"/>
              <w:left w:val="nil"/>
              <w:bottom w:val="nil"/>
              <w:right w:val="nil"/>
            </w:tcBorders>
            <w:noWrap/>
            <w:vAlign w:val="bottom"/>
            <w:hideMark/>
          </w:tcPr>
          <w:p w14:paraId="28E408F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905.696,00</w:t>
            </w:r>
          </w:p>
        </w:tc>
        <w:tc>
          <w:tcPr>
            <w:tcW w:w="1200" w:type="dxa"/>
            <w:tcBorders>
              <w:top w:val="nil"/>
              <w:left w:val="nil"/>
              <w:bottom w:val="nil"/>
              <w:right w:val="nil"/>
            </w:tcBorders>
            <w:noWrap/>
            <w:vAlign w:val="bottom"/>
            <w:hideMark/>
          </w:tcPr>
          <w:p w14:paraId="4F38B8F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923.812,00</w:t>
            </w:r>
          </w:p>
        </w:tc>
      </w:tr>
      <w:tr w:rsidR="00375E84" w:rsidRPr="00375E84" w14:paraId="474CB50B" w14:textId="77777777" w:rsidTr="00375E84">
        <w:trPr>
          <w:trHeight w:val="255"/>
        </w:trPr>
        <w:tc>
          <w:tcPr>
            <w:tcW w:w="420" w:type="dxa"/>
            <w:tcBorders>
              <w:top w:val="nil"/>
              <w:left w:val="nil"/>
              <w:bottom w:val="nil"/>
              <w:right w:val="nil"/>
            </w:tcBorders>
            <w:noWrap/>
            <w:vAlign w:val="bottom"/>
            <w:hideMark/>
          </w:tcPr>
          <w:p w14:paraId="56FCF8E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32</w:t>
            </w:r>
          </w:p>
        </w:tc>
        <w:tc>
          <w:tcPr>
            <w:tcW w:w="4000" w:type="dxa"/>
            <w:tcBorders>
              <w:top w:val="nil"/>
              <w:left w:val="nil"/>
              <w:bottom w:val="nil"/>
              <w:right w:val="nil"/>
            </w:tcBorders>
            <w:vAlign w:val="bottom"/>
            <w:hideMark/>
          </w:tcPr>
          <w:p w14:paraId="41E4856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Materijalni rashodi</w:t>
            </w:r>
          </w:p>
        </w:tc>
        <w:tc>
          <w:tcPr>
            <w:tcW w:w="1200" w:type="dxa"/>
            <w:tcBorders>
              <w:top w:val="nil"/>
              <w:left w:val="nil"/>
              <w:bottom w:val="nil"/>
              <w:right w:val="nil"/>
            </w:tcBorders>
            <w:noWrap/>
            <w:vAlign w:val="bottom"/>
            <w:hideMark/>
          </w:tcPr>
          <w:p w14:paraId="76DE02E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1.776.488,00</w:t>
            </w:r>
          </w:p>
        </w:tc>
        <w:tc>
          <w:tcPr>
            <w:tcW w:w="1200" w:type="dxa"/>
            <w:tcBorders>
              <w:top w:val="nil"/>
              <w:left w:val="nil"/>
              <w:bottom w:val="nil"/>
              <w:right w:val="nil"/>
            </w:tcBorders>
            <w:noWrap/>
            <w:vAlign w:val="bottom"/>
            <w:hideMark/>
          </w:tcPr>
          <w:p w14:paraId="3E222CE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1.812.018,00</w:t>
            </w:r>
          </w:p>
        </w:tc>
        <w:tc>
          <w:tcPr>
            <w:tcW w:w="1200" w:type="dxa"/>
            <w:tcBorders>
              <w:top w:val="nil"/>
              <w:left w:val="nil"/>
              <w:bottom w:val="nil"/>
              <w:right w:val="nil"/>
            </w:tcBorders>
            <w:noWrap/>
            <w:vAlign w:val="bottom"/>
            <w:hideMark/>
          </w:tcPr>
          <w:p w14:paraId="4020D9B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1.848.255,00</w:t>
            </w:r>
          </w:p>
        </w:tc>
      </w:tr>
      <w:tr w:rsidR="00375E84" w:rsidRPr="00375E84" w14:paraId="0C82C06C" w14:textId="77777777" w:rsidTr="00375E84">
        <w:trPr>
          <w:trHeight w:val="255"/>
        </w:trPr>
        <w:tc>
          <w:tcPr>
            <w:tcW w:w="420" w:type="dxa"/>
            <w:tcBorders>
              <w:top w:val="nil"/>
              <w:left w:val="nil"/>
              <w:bottom w:val="nil"/>
              <w:right w:val="nil"/>
            </w:tcBorders>
            <w:noWrap/>
            <w:vAlign w:val="bottom"/>
            <w:hideMark/>
          </w:tcPr>
          <w:p w14:paraId="64CA3AF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34</w:t>
            </w:r>
          </w:p>
        </w:tc>
        <w:tc>
          <w:tcPr>
            <w:tcW w:w="4000" w:type="dxa"/>
            <w:tcBorders>
              <w:top w:val="nil"/>
              <w:left w:val="nil"/>
              <w:bottom w:val="nil"/>
              <w:right w:val="nil"/>
            </w:tcBorders>
            <w:vAlign w:val="bottom"/>
            <w:hideMark/>
          </w:tcPr>
          <w:p w14:paraId="3D45ED8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Financijski rashodi</w:t>
            </w:r>
          </w:p>
        </w:tc>
        <w:tc>
          <w:tcPr>
            <w:tcW w:w="1200" w:type="dxa"/>
            <w:tcBorders>
              <w:top w:val="nil"/>
              <w:left w:val="nil"/>
              <w:bottom w:val="nil"/>
              <w:right w:val="nil"/>
            </w:tcBorders>
            <w:noWrap/>
            <w:vAlign w:val="bottom"/>
            <w:hideMark/>
          </w:tcPr>
          <w:p w14:paraId="3EB52F6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3.032,00</w:t>
            </w:r>
          </w:p>
        </w:tc>
        <w:tc>
          <w:tcPr>
            <w:tcW w:w="1200" w:type="dxa"/>
            <w:tcBorders>
              <w:top w:val="nil"/>
              <w:left w:val="nil"/>
              <w:bottom w:val="nil"/>
              <w:right w:val="nil"/>
            </w:tcBorders>
            <w:noWrap/>
            <w:vAlign w:val="bottom"/>
            <w:hideMark/>
          </w:tcPr>
          <w:p w14:paraId="47E93FF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3.093,00</w:t>
            </w:r>
          </w:p>
        </w:tc>
        <w:tc>
          <w:tcPr>
            <w:tcW w:w="1200" w:type="dxa"/>
            <w:tcBorders>
              <w:top w:val="nil"/>
              <w:left w:val="nil"/>
              <w:bottom w:val="nil"/>
              <w:right w:val="nil"/>
            </w:tcBorders>
            <w:noWrap/>
            <w:vAlign w:val="bottom"/>
            <w:hideMark/>
          </w:tcPr>
          <w:p w14:paraId="5A47B8A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3.154,00</w:t>
            </w:r>
          </w:p>
        </w:tc>
      </w:tr>
      <w:tr w:rsidR="00375E84" w:rsidRPr="00375E84" w14:paraId="7CC27B2B" w14:textId="77777777" w:rsidTr="00375E84">
        <w:trPr>
          <w:trHeight w:val="255"/>
        </w:trPr>
        <w:tc>
          <w:tcPr>
            <w:tcW w:w="420" w:type="dxa"/>
            <w:tcBorders>
              <w:top w:val="nil"/>
              <w:left w:val="nil"/>
              <w:bottom w:val="nil"/>
              <w:right w:val="nil"/>
            </w:tcBorders>
            <w:noWrap/>
            <w:vAlign w:val="bottom"/>
            <w:hideMark/>
          </w:tcPr>
          <w:p w14:paraId="0F1CB11A"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35</w:t>
            </w:r>
          </w:p>
        </w:tc>
        <w:tc>
          <w:tcPr>
            <w:tcW w:w="4000" w:type="dxa"/>
            <w:tcBorders>
              <w:top w:val="nil"/>
              <w:left w:val="nil"/>
              <w:bottom w:val="nil"/>
              <w:right w:val="nil"/>
            </w:tcBorders>
            <w:vAlign w:val="bottom"/>
            <w:hideMark/>
          </w:tcPr>
          <w:p w14:paraId="5AC2D8F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Subvencije</w:t>
            </w:r>
          </w:p>
        </w:tc>
        <w:tc>
          <w:tcPr>
            <w:tcW w:w="1200" w:type="dxa"/>
            <w:tcBorders>
              <w:top w:val="nil"/>
              <w:left w:val="nil"/>
              <w:bottom w:val="nil"/>
              <w:right w:val="nil"/>
            </w:tcBorders>
            <w:noWrap/>
            <w:vAlign w:val="bottom"/>
            <w:hideMark/>
          </w:tcPr>
          <w:p w14:paraId="000A16C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100,00</w:t>
            </w:r>
          </w:p>
        </w:tc>
        <w:tc>
          <w:tcPr>
            <w:tcW w:w="1200" w:type="dxa"/>
            <w:tcBorders>
              <w:top w:val="nil"/>
              <w:left w:val="nil"/>
              <w:bottom w:val="nil"/>
              <w:right w:val="nil"/>
            </w:tcBorders>
            <w:noWrap/>
            <w:vAlign w:val="bottom"/>
            <w:hideMark/>
          </w:tcPr>
          <w:p w14:paraId="1E18C01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102,00</w:t>
            </w:r>
          </w:p>
        </w:tc>
        <w:tc>
          <w:tcPr>
            <w:tcW w:w="1200" w:type="dxa"/>
            <w:tcBorders>
              <w:top w:val="nil"/>
              <w:left w:val="nil"/>
              <w:bottom w:val="nil"/>
              <w:right w:val="nil"/>
            </w:tcBorders>
            <w:noWrap/>
            <w:vAlign w:val="bottom"/>
            <w:hideMark/>
          </w:tcPr>
          <w:p w14:paraId="368DE62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104,00</w:t>
            </w:r>
          </w:p>
        </w:tc>
      </w:tr>
      <w:tr w:rsidR="00375E84" w:rsidRPr="00375E84" w14:paraId="58A0EA0D" w14:textId="77777777" w:rsidTr="00375E84">
        <w:trPr>
          <w:trHeight w:val="255"/>
        </w:trPr>
        <w:tc>
          <w:tcPr>
            <w:tcW w:w="420" w:type="dxa"/>
            <w:tcBorders>
              <w:top w:val="nil"/>
              <w:left w:val="nil"/>
              <w:bottom w:val="nil"/>
              <w:right w:val="nil"/>
            </w:tcBorders>
            <w:noWrap/>
            <w:vAlign w:val="bottom"/>
            <w:hideMark/>
          </w:tcPr>
          <w:p w14:paraId="4BFC122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36</w:t>
            </w:r>
          </w:p>
        </w:tc>
        <w:tc>
          <w:tcPr>
            <w:tcW w:w="4000" w:type="dxa"/>
            <w:tcBorders>
              <w:top w:val="nil"/>
              <w:left w:val="nil"/>
              <w:bottom w:val="nil"/>
              <w:right w:val="nil"/>
            </w:tcBorders>
            <w:vAlign w:val="bottom"/>
            <w:hideMark/>
          </w:tcPr>
          <w:p w14:paraId="2050A9C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Pomoći dane u inozemstvo i unutar općeg proračuna</w:t>
            </w:r>
          </w:p>
        </w:tc>
        <w:tc>
          <w:tcPr>
            <w:tcW w:w="1200" w:type="dxa"/>
            <w:tcBorders>
              <w:top w:val="nil"/>
              <w:left w:val="nil"/>
              <w:bottom w:val="nil"/>
              <w:right w:val="nil"/>
            </w:tcBorders>
            <w:noWrap/>
            <w:vAlign w:val="bottom"/>
            <w:hideMark/>
          </w:tcPr>
          <w:p w14:paraId="518CE6D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2.900,00</w:t>
            </w:r>
          </w:p>
        </w:tc>
        <w:tc>
          <w:tcPr>
            <w:tcW w:w="1200" w:type="dxa"/>
            <w:tcBorders>
              <w:top w:val="nil"/>
              <w:left w:val="nil"/>
              <w:bottom w:val="nil"/>
              <w:right w:val="nil"/>
            </w:tcBorders>
            <w:noWrap/>
            <w:vAlign w:val="bottom"/>
            <w:hideMark/>
          </w:tcPr>
          <w:p w14:paraId="2580B9D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2.958,00</w:t>
            </w:r>
          </w:p>
        </w:tc>
        <w:tc>
          <w:tcPr>
            <w:tcW w:w="1200" w:type="dxa"/>
            <w:tcBorders>
              <w:top w:val="nil"/>
              <w:left w:val="nil"/>
              <w:bottom w:val="nil"/>
              <w:right w:val="nil"/>
            </w:tcBorders>
            <w:noWrap/>
            <w:vAlign w:val="bottom"/>
            <w:hideMark/>
          </w:tcPr>
          <w:p w14:paraId="56676BD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3.017,00</w:t>
            </w:r>
          </w:p>
        </w:tc>
      </w:tr>
      <w:tr w:rsidR="00375E84" w:rsidRPr="00375E84" w14:paraId="619421AB" w14:textId="77777777" w:rsidTr="00375E84">
        <w:trPr>
          <w:trHeight w:val="510"/>
        </w:trPr>
        <w:tc>
          <w:tcPr>
            <w:tcW w:w="420" w:type="dxa"/>
            <w:tcBorders>
              <w:top w:val="nil"/>
              <w:left w:val="nil"/>
              <w:bottom w:val="nil"/>
              <w:right w:val="nil"/>
            </w:tcBorders>
            <w:noWrap/>
            <w:vAlign w:val="bottom"/>
            <w:hideMark/>
          </w:tcPr>
          <w:p w14:paraId="303FD17C"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37</w:t>
            </w:r>
          </w:p>
        </w:tc>
        <w:tc>
          <w:tcPr>
            <w:tcW w:w="4000" w:type="dxa"/>
            <w:tcBorders>
              <w:top w:val="nil"/>
              <w:left w:val="nil"/>
              <w:bottom w:val="nil"/>
              <w:right w:val="nil"/>
            </w:tcBorders>
            <w:vAlign w:val="bottom"/>
            <w:hideMark/>
          </w:tcPr>
          <w:p w14:paraId="1B5456F1"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Naknade građanima i kućanstvima na temelju osiguranja i druge naknade</w:t>
            </w:r>
          </w:p>
        </w:tc>
        <w:tc>
          <w:tcPr>
            <w:tcW w:w="1200" w:type="dxa"/>
            <w:tcBorders>
              <w:top w:val="nil"/>
              <w:left w:val="nil"/>
              <w:bottom w:val="nil"/>
              <w:right w:val="nil"/>
            </w:tcBorders>
            <w:noWrap/>
            <w:vAlign w:val="bottom"/>
            <w:hideMark/>
          </w:tcPr>
          <w:p w14:paraId="0D982DAD"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245.000,00</w:t>
            </w:r>
          </w:p>
        </w:tc>
        <w:tc>
          <w:tcPr>
            <w:tcW w:w="1200" w:type="dxa"/>
            <w:tcBorders>
              <w:top w:val="nil"/>
              <w:left w:val="nil"/>
              <w:bottom w:val="nil"/>
              <w:right w:val="nil"/>
            </w:tcBorders>
            <w:noWrap/>
            <w:vAlign w:val="bottom"/>
            <w:hideMark/>
          </w:tcPr>
          <w:p w14:paraId="221CFC5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249.900,00</w:t>
            </w:r>
          </w:p>
        </w:tc>
        <w:tc>
          <w:tcPr>
            <w:tcW w:w="1200" w:type="dxa"/>
            <w:tcBorders>
              <w:top w:val="nil"/>
              <w:left w:val="nil"/>
              <w:bottom w:val="nil"/>
              <w:right w:val="nil"/>
            </w:tcBorders>
            <w:noWrap/>
            <w:vAlign w:val="bottom"/>
            <w:hideMark/>
          </w:tcPr>
          <w:p w14:paraId="4D08B1A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254.897,00</w:t>
            </w:r>
          </w:p>
        </w:tc>
      </w:tr>
      <w:tr w:rsidR="00375E84" w:rsidRPr="00375E84" w14:paraId="5E008189" w14:textId="77777777" w:rsidTr="00375E84">
        <w:trPr>
          <w:trHeight w:val="255"/>
        </w:trPr>
        <w:tc>
          <w:tcPr>
            <w:tcW w:w="420" w:type="dxa"/>
            <w:tcBorders>
              <w:top w:val="nil"/>
              <w:left w:val="nil"/>
              <w:bottom w:val="nil"/>
              <w:right w:val="nil"/>
            </w:tcBorders>
            <w:noWrap/>
            <w:vAlign w:val="bottom"/>
            <w:hideMark/>
          </w:tcPr>
          <w:p w14:paraId="0ADC7A5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38</w:t>
            </w:r>
          </w:p>
        </w:tc>
        <w:tc>
          <w:tcPr>
            <w:tcW w:w="4000" w:type="dxa"/>
            <w:tcBorders>
              <w:top w:val="nil"/>
              <w:left w:val="nil"/>
              <w:bottom w:val="nil"/>
              <w:right w:val="nil"/>
            </w:tcBorders>
            <w:vAlign w:val="bottom"/>
            <w:hideMark/>
          </w:tcPr>
          <w:p w14:paraId="474DE73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donacije, kazne, naknade šteta i kapitalne pomoći</w:t>
            </w:r>
          </w:p>
        </w:tc>
        <w:tc>
          <w:tcPr>
            <w:tcW w:w="1200" w:type="dxa"/>
            <w:tcBorders>
              <w:top w:val="nil"/>
              <w:left w:val="nil"/>
              <w:bottom w:val="nil"/>
              <w:right w:val="nil"/>
            </w:tcBorders>
            <w:noWrap/>
            <w:vAlign w:val="bottom"/>
            <w:hideMark/>
          </w:tcPr>
          <w:p w14:paraId="12AC2F1B"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415.842,00</w:t>
            </w:r>
          </w:p>
        </w:tc>
        <w:tc>
          <w:tcPr>
            <w:tcW w:w="1200" w:type="dxa"/>
            <w:tcBorders>
              <w:top w:val="nil"/>
              <w:left w:val="nil"/>
              <w:bottom w:val="nil"/>
              <w:right w:val="nil"/>
            </w:tcBorders>
            <w:noWrap/>
            <w:vAlign w:val="bottom"/>
            <w:hideMark/>
          </w:tcPr>
          <w:p w14:paraId="7297D78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424.159,00</w:t>
            </w:r>
          </w:p>
        </w:tc>
        <w:tc>
          <w:tcPr>
            <w:tcW w:w="1200" w:type="dxa"/>
            <w:tcBorders>
              <w:top w:val="nil"/>
              <w:left w:val="nil"/>
              <w:bottom w:val="nil"/>
              <w:right w:val="nil"/>
            </w:tcBorders>
            <w:noWrap/>
            <w:vAlign w:val="bottom"/>
            <w:hideMark/>
          </w:tcPr>
          <w:p w14:paraId="46344323"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432.642,00</w:t>
            </w:r>
          </w:p>
        </w:tc>
      </w:tr>
      <w:tr w:rsidR="00375E84" w:rsidRPr="00375E84" w14:paraId="34BB722F" w14:textId="77777777" w:rsidTr="00375E84">
        <w:trPr>
          <w:trHeight w:val="255"/>
        </w:trPr>
        <w:tc>
          <w:tcPr>
            <w:tcW w:w="420" w:type="dxa"/>
            <w:tcBorders>
              <w:top w:val="nil"/>
              <w:left w:val="nil"/>
              <w:bottom w:val="nil"/>
              <w:right w:val="nil"/>
            </w:tcBorders>
            <w:noWrap/>
            <w:vAlign w:val="bottom"/>
            <w:hideMark/>
          </w:tcPr>
          <w:p w14:paraId="54764D38"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w:t>
            </w:r>
          </w:p>
        </w:tc>
        <w:tc>
          <w:tcPr>
            <w:tcW w:w="4000" w:type="dxa"/>
            <w:tcBorders>
              <w:top w:val="nil"/>
              <w:left w:val="nil"/>
              <w:bottom w:val="nil"/>
              <w:right w:val="nil"/>
            </w:tcBorders>
            <w:vAlign w:val="bottom"/>
            <w:hideMark/>
          </w:tcPr>
          <w:p w14:paraId="597D3F2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nabavu nefinancijske imovine</w:t>
            </w:r>
          </w:p>
        </w:tc>
        <w:tc>
          <w:tcPr>
            <w:tcW w:w="1200" w:type="dxa"/>
            <w:tcBorders>
              <w:top w:val="nil"/>
              <w:left w:val="nil"/>
              <w:bottom w:val="nil"/>
              <w:right w:val="nil"/>
            </w:tcBorders>
            <w:noWrap/>
            <w:vAlign w:val="bottom"/>
            <w:hideMark/>
          </w:tcPr>
          <w:p w14:paraId="34EB8A0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5.955.042,45</w:t>
            </w:r>
          </w:p>
        </w:tc>
        <w:tc>
          <w:tcPr>
            <w:tcW w:w="1200" w:type="dxa"/>
            <w:tcBorders>
              <w:top w:val="nil"/>
              <w:left w:val="nil"/>
              <w:bottom w:val="nil"/>
              <w:right w:val="nil"/>
            </w:tcBorders>
            <w:noWrap/>
            <w:vAlign w:val="bottom"/>
            <w:hideMark/>
          </w:tcPr>
          <w:p w14:paraId="4B1B6C3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6.074.144,00</w:t>
            </w:r>
          </w:p>
        </w:tc>
        <w:tc>
          <w:tcPr>
            <w:tcW w:w="1200" w:type="dxa"/>
            <w:tcBorders>
              <w:top w:val="nil"/>
              <w:left w:val="nil"/>
              <w:bottom w:val="nil"/>
              <w:right w:val="nil"/>
            </w:tcBorders>
            <w:noWrap/>
            <w:vAlign w:val="bottom"/>
            <w:hideMark/>
          </w:tcPr>
          <w:p w14:paraId="76123D02"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6.195.630,00</w:t>
            </w:r>
          </w:p>
        </w:tc>
      </w:tr>
      <w:tr w:rsidR="00375E84" w:rsidRPr="00375E84" w14:paraId="4CF7676A" w14:textId="77777777" w:rsidTr="00375E84">
        <w:trPr>
          <w:trHeight w:val="255"/>
        </w:trPr>
        <w:tc>
          <w:tcPr>
            <w:tcW w:w="420" w:type="dxa"/>
            <w:tcBorders>
              <w:top w:val="nil"/>
              <w:left w:val="nil"/>
              <w:bottom w:val="nil"/>
              <w:right w:val="nil"/>
            </w:tcBorders>
            <w:noWrap/>
            <w:vAlign w:val="bottom"/>
            <w:hideMark/>
          </w:tcPr>
          <w:p w14:paraId="161843AD"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41</w:t>
            </w:r>
          </w:p>
        </w:tc>
        <w:tc>
          <w:tcPr>
            <w:tcW w:w="4000" w:type="dxa"/>
            <w:tcBorders>
              <w:top w:val="nil"/>
              <w:left w:val="nil"/>
              <w:bottom w:val="nil"/>
              <w:right w:val="nil"/>
            </w:tcBorders>
            <w:vAlign w:val="bottom"/>
            <w:hideMark/>
          </w:tcPr>
          <w:p w14:paraId="3BE90C1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 xml:space="preserve">Rashodi za nabavu </w:t>
            </w:r>
            <w:proofErr w:type="spellStart"/>
            <w:r w:rsidRPr="00375E84">
              <w:rPr>
                <w:rFonts w:ascii="Times New Roman" w:eastAsia="Times New Roman" w:hAnsi="Times New Roman" w:cs="Times New Roman"/>
                <w:sz w:val="24"/>
                <w:szCs w:val="24"/>
                <w:lang w:eastAsia="hr-HR"/>
              </w:rPr>
              <w:t>neproizvedene</w:t>
            </w:r>
            <w:proofErr w:type="spellEnd"/>
            <w:r w:rsidRPr="00375E84">
              <w:rPr>
                <w:rFonts w:ascii="Times New Roman" w:eastAsia="Times New Roman" w:hAnsi="Times New Roman" w:cs="Times New Roman"/>
                <w:sz w:val="24"/>
                <w:szCs w:val="24"/>
                <w:lang w:eastAsia="hr-HR"/>
              </w:rPr>
              <w:t xml:space="preserve"> dugotrajne imovine</w:t>
            </w:r>
          </w:p>
        </w:tc>
        <w:tc>
          <w:tcPr>
            <w:tcW w:w="1200" w:type="dxa"/>
            <w:tcBorders>
              <w:top w:val="nil"/>
              <w:left w:val="nil"/>
              <w:bottom w:val="nil"/>
              <w:right w:val="nil"/>
            </w:tcBorders>
            <w:noWrap/>
            <w:vAlign w:val="bottom"/>
            <w:hideMark/>
          </w:tcPr>
          <w:p w14:paraId="768138F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1.113.350,00</w:t>
            </w:r>
          </w:p>
        </w:tc>
        <w:tc>
          <w:tcPr>
            <w:tcW w:w="1200" w:type="dxa"/>
            <w:tcBorders>
              <w:top w:val="nil"/>
              <w:left w:val="nil"/>
              <w:bottom w:val="nil"/>
              <w:right w:val="nil"/>
            </w:tcBorders>
            <w:noWrap/>
            <w:vAlign w:val="bottom"/>
            <w:hideMark/>
          </w:tcPr>
          <w:p w14:paraId="567497C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1.135.617,00</w:t>
            </w:r>
          </w:p>
        </w:tc>
        <w:tc>
          <w:tcPr>
            <w:tcW w:w="1200" w:type="dxa"/>
            <w:tcBorders>
              <w:top w:val="nil"/>
              <w:left w:val="nil"/>
              <w:bottom w:val="nil"/>
              <w:right w:val="nil"/>
            </w:tcBorders>
            <w:noWrap/>
            <w:vAlign w:val="bottom"/>
            <w:hideMark/>
          </w:tcPr>
          <w:p w14:paraId="51EEB089"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1.158.330,00</w:t>
            </w:r>
          </w:p>
        </w:tc>
      </w:tr>
      <w:tr w:rsidR="00375E84" w:rsidRPr="00375E84" w14:paraId="40EB2D6D" w14:textId="77777777" w:rsidTr="00375E84">
        <w:trPr>
          <w:trHeight w:val="255"/>
        </w:trPr>
        <w:tc>
          <w:tcPr>
            <w:tcW w:w="420" w:type="dxa"/>
            <w:tcBorders>
              <w:top w:val="nil"/>
              <w:left w:val="nil"/>
              <w:bottom w:val="nil"/>
              <w:right w:val="nil"/>
            </w:tcBorders>
            <w:noWrap/>
            <w:vAlign w:val="bottom"/>
            <w:hideMark/>
          </w:tcPr>
          <w:p w14:paraId="4A4719B6"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lastRenderedPageBreak/>
              <w:t>42</w:t>
            </w:r>
          </w:p>
        </w:tc>
        <w:tc>
          <w:tcPr>
            <w:tcW w:w="4000" w:type="dxa"/>
            <w:tcBorders>
              <w:top w:val="nil"/>
              <w:left w:val="nil"/>
              <w:bottom w:val="nil"/>
              <w:right w:val="nil"/>
            </w:tcBorders>
            <w:vAlign w:val="bottom"/>
            <w:hideMark/>
          </w:tcPr>
          <w:p w14:paraId="24B22A8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Rashodi za nabavu proizvedene dugotrajne imovine</w:t>
            </w:r>
          </w:p>
        </w:tc>
        <w:tc>
          <w:tcPr>
            <w:tcW w:w="1200" w:type="dxa"/>
            <w:tcBorders>
              <w:top w:val="nil"/>
              <w:left w:val="nil"/>
              <w:bottom w:val="nil"/>
              <w:right w:val="nil"/>
            </w:tcBorders>
            <w:noWrap/>
            <w:vAlign w:val="bottom"/>
            <w:hideMark/>
          </w:tcPr>
          <w:p w14:paraId="6216DEA6"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4.841.692,45</w:t>
            </w:r>
          </w:p>
        </w:tc>
        <w:tc>
          <w:tcPr>
            <w:tcW w:w="1200" w:type="dxa"/>
            <w:tcBorders>
              <w:top w:val="nil"/>
              <w:left w:val="nil"/>
              <w:bottom w:val="nil"/>
              <w:right w:val="nil"/>
            </w:tcBorders>
            <w:noWrap/>
            <w:vAlign w:val="bottom"/>
            <w:hideMark/>
          </w:tcPr>
          <w:p w14:paraId="22688370"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4.938.527,00</w:t>
            </w:r>
          </w:p>
        </w:tc>
        <w:tc>
          <w:tcPr>
            <w:tcW w:w="1200" w:type="dxa"/>
            <w:tcBorders>
              <w:top w:val="nil"/>
              <w:left w:val="nil"/>
              <w:bottom w:val="nil"/>
              <w:right w:val="nil"/>
            </w:tcBorders>
            <w:noWrap/>
            <w:vAlign w:val="bottom"/>
            <w:hideMark/>
          </w:tcPr>
          <w:p w14:paraId="1E87203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5.037.300,00</w:t>
            </w:r>
          </w:p>
        </w:tc>
      </w:tr>
      <w:tr w:rsidR="00375E84" w:rsidRPr="00375E84" w14:paraId="4BDCA85D" w14:textId="77777777" w:rsidTr="00375E84">
        <w:trPr>
          <w:trHeight w:val="255"/>
        </w:trPr>
        <w:tc>
          <w:tcPr>
            <w:tcW w:w="420" w:type="dxa"/>
            <w:tcBorders>
              <w:top w:val="nil"/>
              <w:left w:val="nil"/>
              <w:bottom w:val="nil"/>
              <w:right w:val="nil"/>
            </w:tcBorders>
            <w:noWrap/>
            <w:vAlign w:val="bottom"/>
            <w:hideMark/>
          </w:tcPr>
          <w:p w14:paraId="193A93D4"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w:t>
            </w:r>
          </w:p>
        </w:tc>
        <w:tc>
          <w:tcPr>
            <w:tcW w:w="4000" w:type="dxa"/>
            <w:tcBorders>
              <w:top w:val="nil"/>
              <w:left w:val="nil"/>
              <w:bottom w:val="nil"/>
              <w:right w:val="nil"/>
            </w:tcBorders>
            <w:vAlign w:val="bottom"/>
            <w:hideMark/>
          </w:tcPr>
          <w:p w14:paraId="7745EEB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Izdaci za financijsku imovinu i otplate zajmova</w:t>
            </w:r>
          </w:p>
        </w:tc>
        <w:tc>
          <w:tcPr>
            <w:tcW w:w="1200" w:type="dxa"/>
            <w:tcBorders>
              <w:top w:val="nil"/>
              <w:left w:val="nil"/>
              <w:bottom w:val="nil"/>
              <w:right w:val="nil"/>
            </w:tcBorders>
            <w:noWrap/>
            <w:vAlign w:val="bottom"/>
            <w:hideMark/>
          </w:tcPr>
          <w:p w14:paraId="50E33C31"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388904AF"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7B858217"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r>
      <w:tr w:rsidR="00375E84" w:rsidRPr="00375E84" w14:paraId="5D53ECDF" w14:textId="77777777" w:rsidTr="00375E84">
        <w:trPr>
          <w:trHeight w:val="255"/>
        </w:trPr>
        <w:tc>
          <w:tcPr>
            <w:tcW w:w="420" w:type="dxa"/>
            <w:tcBorders>
              <w:top w:val="nil"/>
              <w:left w:val="nil"/>
              <w:bottom w:val="nil"/>
              <w:right w:val="nil"/>
            </w:tcBorders>
            <w:noWrap/>
            <w:vAlign w:val="bottom"/>
            <w:hideMark/>
          </w:tcPr>
          <w:p w14:paraId="6B33C2F0"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54</w:t>
            </w:r>
          </w:p>
        </w:tc>
        <w:tc>
          <w:tcPr>
            <w:tcW w:w="4000" w:type="dxa"/>
            <w:tcBorders>
              <w:top w:val="nil"/>
              <w:left w:val="nil"/>
              <w:bottom w:val="nil"/>
              <w:right w:val="nil"/>
            </w:tcBorders>
            <w:vAlign w:val="bottom"/>
            <w:hideMark/>
          </w:tcPr>
          <w:p w14:paraId="3BCA522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Izdaci za otplatu glavnice primljenih kredita i zajmova</w:t>
            </w:r>
          </w:p>
        </w:tc>
        <w:tc>
          <w:tcPr>
            <w:tcW w:w="1200" w:type="dxa"/>
            <w:tcBorders>
              <w:top w:val="nil"/>
              <w:left w:val="nil"/>
              <w:bottom w:val="nil"/>
              <w:right w:val="nil"/>
            </w:tcBorders>
            <w:noWrap/>
            <w:vAlign w:val="bottom"/>
            <w:hideMark/>
          </w:tcPr>
          <w:p w14:paraId="5BBE3114"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2A6DABBA"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c>
          <w:tcPr>
            <w:tcW w:w="1200" w:type="dxa"/>
            <w:tcBorders>
              <w:top w:val="nil"/>
              <w:left w:val="nil"/>
              <w:bottom w:val="nil"/>
              <w:right w:val="nil"/>
            </w:tcBorders>
            <w:noWrap/>
            <w:vAlign w:val="bottom"/>
            <w:hideMark/>
          </w:tcPr>
          <w:p w14:paraId="4C61C1C8"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r w:rsidRPr="00375E84">
              <w:rPr>
                <w:rFonts w:ascii="Times New Roman" w:eastAsia="Times New Roman" w:hAnsi="Times New Roman" w:cs="Times New Roman"/>
                <w:sz w:val="24"/>
                <w:szCs w:val="24"/>
                <w:lang w:eastAsia="hr-HR"/>
              </w:rPr>
              <w:t>0,00</w:t>
            </w:r>
          </w:p>
        </w:tc>
      </w:tr>
      <w:tr w:rsidR="00375E84" w:rsidRPr="00375E84" w14:paraId="4F59F6A6" w14:textId="77777777" w:rsidTr="00375E84">
        <w:trPr>
          <w:trHeight w:val="255"/>
        </w:trPr>
        <w:tc>
          <w:tcPr>
            <w:tcW w:w="420" w:type="dxa"/>
            <w:tcBorders>
              <w:top w:val="nil"/>
              <w:left w:val="nil"/>
              <w:bottom w:val="nil"/>
              <w:right w:val="nil"/>
            </w:tcBorders>
            <w:noWrap/>
            <w:vAlign w:val="bottom"/>
            <w:hideMark/>
          </w:tcPr>
          <w:p w14:paraId="77B31155" w14:textId="77777777" w:rsidR="00375E84" w:rsidRPr="00375E84" w:rsidRDefault="00375E84" w:rsidP="00375E84">
            <w:pPr>
              <w:spacing w:after="0" w:line="240" w:lineRule="auto"/>
              <w:jc w:val="right"/>
              <w:rPr>
                <w:rFonts w:ascii="Times New Roman" w:eastAsia="Times New Roman" w:hAnsi="Times New Roman" w:cs="Times New Roman"/>
                <w:sz w:val="24"/>
                <w:szCs w:val="24"/>
                <w:lang w:eastAsia="hr-HR"/>
              </w:rPr>
            </w:pPr>
          </w:p>
        </w:tc>
        <w:tc>
          <w:tcPr>
            <w:tcW w:w="4000" w:type="dxa"/>
            <w:tcBorders>
              <w:top w:val="nil"/>
              <w:left w:val="nil"/>
              <w:bottom w:val="nil"/>
              <w:right w:val="nil"/>
            </w:tcBorders>
            <w:noWrap/>
            <w:vAlign w:val="bottom"/>
            <w:hideMark/>
          </w:tcPr>
          <w:p w14:paraId="2BACE06B"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222A2A23"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469F3C35"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c>
          <w:tcPr>
            <w:tcW w:w="1200" w:type="dxa"/>
            <w:tcBorders>
              <w:top w:val="nil"/>
              <w:left w:val="nil"/>
              <w:bottom w:val="nil"/>
              <w:right w:val="nil"/>
            </w:tcBorders>
            <w:noWrap/>
            <w:vAlign w:val="bottom"/>
            <w:hideMark/>
          </w:tcPr>
          <w:p w14:paraId="65D59FA2" w14:textId="77777777" w:rsidR="00375E84" w:rsidRPr="00375E84" w:rsidRDefault="00375E84" w:rsidP="00375E84">
            <w:pPr>
              <w:spacing w:after="0" w:line="240" w:lineRule="auto"/>
              <w:rPr>
                <w:rFonts w:ascii="Times New Roman" w:eastAsia="Times New Roman" w:hAnsi="Times New Roman" w:cs="Times New Roman"/>
                <w:sz w:val="24"/>
                <w:szCs w:val="24"/>
                <w:lang w:eastAsia="hr-HR"/>
              </w:rPr>
            </w:pPr>
          </w:p>
        </w:tc>
      </w:tr>
    </w:tbl>
    <w:p w14:paraId="45116EEA" w14:textId="77777777" w:rsidR="003F4BAD" w:rsidRPr="00172B2B" w:rsidRDefault="003F4BAD" w:rsidP="00172B2B">
      <w:pPr>
        <w:widowControl w:val="0"/>
        <w:autoSpaceDE w:val="0"/>
        <w:autoSpaceDN w:val="0"/>
        <w:spacing w:after="0" w:line="240" w:lineRule="auto"/>
        <w:ind w:right="137"/>
        <w:jc w:val="both"/>
        <w:rPr>
          <w:rFonts w:ascii="Times New Roman" w:eastAsia="Arial" w:hAnsi="Times New Roman" w:cs="Times New Roman"/>
          <w:sz w:val="24"/>
          <w:szCs w:val="24"/>
          <w:lang w:val="bs"/>
        </w:rPr>
      </w:pPr>
    </w:p>
    <w:p w14:paraId="48D8EB56" w14:textId="77777777" w:rsidR="003F4BAD" w:rsidRPr="00172B2B" w:rsidRDefault="003F4BAD" w:rsidP="003F4BAD">
      <w:pPr>
        <w:widowControl w:val="0"/>
        <w:autoSpaceDE w:val="0"/>
        <w:autoSpaceDN w:val="0"/>
        <w:spacing w:after="0" w:line="240" w:lineRule="auto"/>
        <w:ind w:left="143" w:right="137" w:firstLine="708"/>
        <w:jc w:val="both"/>
        <w:rPr>
          <w:rFonts w:ascii="Times New Roman" w:eastAsia="Arial" w:hAnsi="Times New Roman" w:cs="Times New Roman"/>
          <w:sz w:val="24"/>
          <w:szCs w:val="24"/>
          <w:lang w:val="bs"/>
        </w:rPr>
      </w:pPr>
    </w:p>
    <w:p w14:paraId="44C92466" w14:textId="77777777" w:rsidR="00E16180" w:rsidRPr="00172B2B" w:rsidRDefault="00E16180" w:rsidP="00E16180">
      <w:pPr>
        <w:autoSpaceDE w:val="0"/>
        <w:autoSpaceDN w:val="0"/>
        <w:adjustRightInd w:val="0"/>
        <w:spacing w:after="0" w:line="240" w:lineRule="auto"/>
        <w:rPr>
          <w:rFonts w:ascii="Times New Roman" w:hAnsi="Times New Roman" w:cs="Times New Roman"/>
          <w:sz w:val="24"/>
          <w:szCs w:val="24"/>
        </w:rPr>
      </w:pPr>
    </w:p>
    <w:p w14:paraId="738634F1" w14:textId="78584BFC" w:rsidR="001A10EE" w:rsidRPr="00172B2B" w:rsidRDefault="001A10EE" w:rsidP="00172B2B">
      <w:pPr>
        <w:pStyle w:val="Odlomakpopisa"/>
        <w:numPr>
          <w:ilvl w:val="0"/>
          <w:numId w:val="7"/>
        </w:numPr>
        <w:autoSpaceDE w:val="0"/>
        <w:autoSpaceDN w:val="0"/>
        <w:adjustRightInd w:val="0"/>
        <w:spacing w:after="0" w:line="240" w:lineRule="auto"/>
        <w:rPr>
          <w:rFonts w:ascii="Times New Roman" w:hAnsi="Times New Roman" w:cs="Times New Roman"/>
          <w:b/>
          <w:bCs/>
          <w:sz w:val="24"/>
          <w:szCs w:val="24"/>
        </w:rPr>
      </w:pPr>
      <w:r w:rsidRPr="00172B2B">
        <w:rPr>
          <w:rFonts w:ascii="Times New Roman" w:hAnsi="Times New Roman" w:cs="Times New Roman"/>
          <w:b/>
          <w:bCs/>
          <w:sz w:val="24"/>
          <w:szCs w:val="24"/>
        </w:rPr>
        <w:t>METODOLOGIJA IZRADE PRORAČUNA I FINANCIJSKOG PLANA</w:t>
      </w:r>
    </w:p>
    <w:p w14:paraId="7EAA0439" w14:textId="77777777" w:rsidR="001A10EE" w:rsidRPr="00172B2B" w:rsidRDefault="001A10EE" w:rsidP="001A10EE">
      <w:pPr>
        <w:autoSpaceDE w:val="0"/>
        <w:autoSpaceDN w:val="0"/>
        <w:adjustRightInd w:val="0"/>
        <w:spacing w:after="0" w:line="240" w:lineRule="auto"/>
        <w:rPr>
          <w:rFonts w:ascii="Times New Roman" w:hAnsi="Times New Roman" w:cs="Times New Roman"/>
          <w:b/>
          <w:bCs/>
          <w:sz w:val="24"/>
          <w:szCs w:val="24"/>
        </w:rPr>
      </w:pPr>
      <w:r w:rsidRPr="00172B2B">
        <w:rPr>
          <w:rFonts w:ascii="Times New Roman" w:hAnsi="Times New Roman" w:cs="Times New Roman"/>
          <w:b/>
          <w:bCs/>
          <w:sz w:val="24"/>
          <w:szCs w:val="24"/>
        </w:rPr>
        <w:t>PRORAČUNSKIH I IZVANPRORAČUNSKIH KORISNIKA JEDINICA LOKALNE I</w:t>
      </w:r>
    </w:p>
    <w:p w14:paraId="5B70F684" w14:textId="77777777" w:rsidR="001A10EE" w:rsidRPr="00172B2B" w:rsidRDefault="001A10EE" w:rsidP="001A10EE">
      <w:pPr>
        <w:autoSpaceDE w:val="0"/>
        <w:autoSpaceDN w:val="0"/>
        <w:adjustRightInd w:val="0"/>
        <w:spacing w:after="0" w:line="240" w:lineRule="auto"/>
        <w:rPr>
          <w:rFonts w:ascii="Times New Roman" w:hAnsi="Times New Roman" w:cs="Times New Roman"/>
          <w:b/>
          <w:bCs/>
          <w:sz w:val="24"/>
          <w:szCs w:val="24"/>
        </w:rPr>
      </w:pPr>
      <w:r w:rsidRPr="00172B2B">
        <w:rPr>
          <w:rFonts w:ascii="Times New Roman" w:hAnsi="Times New Roman" w:cs="Times New Roman"/>
          <w:b/>
          <w:bCs/>
          <w:sz w:val="24"/>
          <w:szCs w:val="24"/>
        </w:rPr>
        <w:t>PODRUČNE (REGIONALNE) SAMOUPRAVE</w:t>
      </w:r>
    </w:p>
    <w:p w14:paraId="17AE10E1" w14:textId="77777777" w:rsidR="00CF2968" w:rsidRPr="00172B2B" w:rsidRDefault="00CF2968" w:rsidP="001A10EE">
      <w:pPr>
        <w:autoSpaceDE w:val="0"/>
        <w:autoSpaceDN w:val="0"/>
        <w:adjustRightInd w:val="0"/>
        <w:spacing w:after="0" w:line="240" w:lineRule="auto"/>
        <w:rPr>
          <w:rFonts w:ascii="Times New Roman" w:hAnsi="Times New Roman" w:cs="Times New Roman"/>
          <w:sz w:val="24"/>
          <w:szCs w:val="24"/>
        </w:rPr>
      </w:pPr>
    </w:p>
    <w:p w14:paraId="0BCA42E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Metodologija za izradu proračuna jedinica lokalne i područne (regionalne) samouprave</w:t>
      </w:r>
    </w:p>
    <w:p w14:paraId="69769154"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propisana je Zakonom o proračunu i podzakonskim aktima kojima se regulira provedba</w:t>
      </w:r>
    </w:p>
    <w:p w14:paraId="04B240CD"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navedenoga Zakona. Do donošenja novih podzakonskih akata i u ovom proračunskom ciklusu</w:t>
      </w:r>
    </w:p>
    <w:p w14:paraId="456CA08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koriste se Pravilnik o proračunskim klasifikacijama (Narodne novine, br. 26/10, 120/12 i 1/20)</w:t>
      </w:r>
      <w:r w:rsidR="00CF2968" w:rsidRPr="00172B2B">
        <w:rPr>
          <w:rFonts w:ascii="Times New Roman" w:hAnsi="Times New Roman" w:cs="Times New Roman"/>
          <w:sz w:val="24"/>
          <w:szCs w:val="24"/>
        </w:rPr>
        <w:t xml:space="preserve"> </w:t>
      </w:r>
      <w:r w:rsidRPr="00172B2B">
        <w:rPr>
          <w:rFonts w:ascii="Times New Roman" w:hAnsi="Times New Roman" w:cs="Times New Roman"/>
          <w:sz w:val="24"/>
          <w:szCs w:val="24"/>
        </w:rPr>
        <w:t>i Pravilnik o proračunskom računovodstvu i Računskom planu (Narodne novine, br. 124/14,</w:t>
      </w:r>
      <w:r w:rsidR="00CF2968" w:rsidRPr="00172B2B">
        <w:rPr>
          <w:rFonts w:ascii="Times New Roman" w:hAnsi="Times New Roman" w:cs="Times New Roman"/>
          <w:sz w:val="24"/>
          <w:szCs w:val="24"/>
        </w:rPr>
        <w:t xml:space="preserve"> </w:t>
      </w:r>
      <w:r w:rsidRPr="00172B2B">
        <w:rPr>
          <w:rFonts w:ascii="Times New Roman" w:hAnsi="Times New Roman" w:cs="Times New Roman"/>
          <w:sz w:val="24"/>
          <w:szCs w:val="24"/>
        </w:rPr>
        <w:t>115/15, 87/16, 3/18, 126/19 i 108/20).</w:t>
      </w:r>
    </w:p>
    <w:p w14:paraId="73586E9B"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2298164A"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i izvanproračunski korisnici jedinica lokalne i područne (regionalne) samouprave</w:t>
      </w:r>
    </w:p>
    <w:p w14:paraId="3F9BD09A"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obvezni su izrađivati financijske planove u skladu s odredbama novog Zakona o proračunu te</w:t>
      </w:r>
    </w:p>
    <w:p w14:paraId="579E74DE"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se pridržavati ovih Uputa.</w:t>
      </w:r>
    </w:p>
    <w:p w14:paraId="74F64914"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275E7BB4"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 jedinice lokalne i područne (regionalne) samouprave sastoji se od plana za</w:t>
      </w:r>
    </w:p>
    <w:p w14:paraId="6EBC708B"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proračunsku godinu i projekcija za sljedeće dvije godine, a sadrži financijske planove</w:t>
      </w:r>
    </w:p>
    <w:p w14:paraId="4E3681A0"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proračunskih korisnika prikazane kroz opći i posebni dio i obrazloženje proračuna. Pod</w:t>
      </w:r>
    </w:p>
    <w:p w14:paraId="1C17BE27"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financijskim planovima proračunskih korisnika jedinice lokalne i područne (regionalne)</w:t>
      </w:r>
    </w:p>
    <w:p w14:paraId="55E6AEA4" w14:textId="77777777" w:rsidR="001A10EE" w:rsidRPr="00172B2B" w:rsidRDefault="001A10EE" w:rsidP="00CF2968">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samouprave podrazumijevaju se i financijski planovi upravnih tijela jedinice lokalne i područne</w:t>
      </w:r>
      <w:r w:rsidR="00CF2968" w:rsidRPr="00172B2B">
        <w:rPr>
          <w:rFonts w:ascii="Times New Roman" w:hAnsi="Times New Roman" w:cs="Times New Roman"/>
          <w:sz w:val="24"/>
          <w:szCs w:val="24"/>
        </w:rPr>
        <w:t xml:space="preserve"> </w:t>
      </w:r>
      <w:r w:rsidRPr="00172B2B">
        <w:rPr>
          <w:rFonts w:ascii="Times New Roman" w:hAnsi="Times New Roman" w:cs="Times New Roman"/>
          <w:sz w:val="24"/>
          <w:szCs w:val="24"/>
        </w:rPr>
        <w:t>(regionalne) samouprave.</w:t>
      </w:r>
    </w:p>
    <w:p w14:paraId="0DC6A691" w14:textId="77777777" w:rsidR="00CF2968" w:rsidRPr="00172B2B" w:rsidRDefault="00CF2968" w:rsidP="00CF2968">
      <w:pPr>
        <w:autoSpaceDE w:val="0"/>
        <w:autoSpaceDN w:val="0"/>
        <w:adjustRightInd w:val="0"/>
        <w:spacing w:after="0" w:line="240" w:lineRule="auto"/>
        <w:rPr>
          <w:rFonts w:ascii="Times New Roman" w:hAnsi="Times New Roman" w:cs="Times New Roman"/>
          <w:sz w:val="24"/>
          <w:szCs w:val="24"/>
        </w:rPr>
      </w:pPr>
    </w:p>
    <w:p w14:paraId="18F0CC1D" w14:textId="77777777" w:rsidR="001A10EE" w:rsidRPr="00172B2B" w:rsidRDefault="001A10EE" w:rsidP="00172B2B">
      <w:pPr>
        <w:pStyle w:val="Odlomakpopisa"/>
        <w:numPr>
          <w:ilvl w:val="0"/>
          <w:numId w:val="14"/>
        </w:num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Sadržaj financijskog plana proračunskih i izvanproračunskih korisnika jedinica</w:t>
      </w:r>
    </w:p>
    <w:p w14:paraId="68D33A4B" w14:textId="77777777" w:rsidR="001A10EE" w:rsidRPr="00172B2B" w:rsidRDefault="001A10EE" w:rsidP="00172B2B">
      <w:pPr>
        <w:autoSpaceDE w:val="0"/>
        <w:autoSpaceDN w:val="0"/>
        <w:adjustRightInd w:val="0"/>
        <w:spacing w:after="0" w:line="240" w:lineRule="auto"/>
        <w:ind w:firstLine="708"/>
        <w:rPr>
          <w:rFonts w:ascii="Times New Roman" w:hAnsi="Times New Roman" w:cs="Times New Roman"/>
          <w:sz w:val="24"/>
          <w:szCs w:val="24"/>
        </w:rPr>
      </w:pPr>
      <w:r w:rsidRPr="00172B2B">
        <w:rPr>
          <w:rFonts w:ascii="Times New Roman" w:hAnsi="Times New Roman" w:cs="Times New Roman"/>
          <w:sz w:val="24"/>
          <w:szCs w:val="24"/>
        </w:rPr>
        <w:t>lokalne i područne (regionalne) samouprave</w:t>
      </w:r>
    </w:p>
    <w:p w14:paraId="0A702D36" w14:textId="77777777" w:rsidR="00CF2968" w:rsidRPr="00172B2B" w:rsidRDefault="00CF2968" w:rsidP="001A10EE">
      <w:pPr>
        <w:autoSpaceDE w:val="0"/>
        <w:autoSpaceDN w:val="0"/>
        <w:adjustRightInd w:val="0"/>
        <w:spacing w:after="0" w:line="240" w:lineRule="auto"/>
        <w:rPr>
          <w:rFonts w:ascii="Times New Roman" w:hAnsi="Times New Roman" w:cs="Times New Roman"/>
          <w:sz w:val="24"/>
          <w:szCs w:val="24"/>
        </w:rPr>
      </w:pPr>
    </w:p>
    <w:p w14:paraId="0C831B8E"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i izvanproračunski korisnici jedinice lokalne i područne (regionalne) samouprave</w:t>
      </w:r>
    </w:p>
    <w:p w14:paraId="1CC4CD2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prihode i primitke, rashode i izdatke za 2024. godinu planiraju na razini skupine (druga razina</w:t>
      </w:r>
    </w:p>
    <w:p w14:paraId="44FE742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računskog plana) isto kao za 2025. i 2026. godinu. Temeljem zahtjeva nadležne jedinice,</w:t>
      </w:r>
    </w:p>
    <w:p w14:paraId="70BBF8F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korisnici mogu izrađivati prijedlog financijskog plana na razini odjeljka (četvrta</w:t>
      </w:r>
    </w:p>
    <w:p w14:paraId="764A8639"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razina računskog plana). Međutim, upravno vijeće ili drugo upravljačko tijelo obvezno je</w:t>
      </w:r>
    </w:p>
    <w:p w14:paraId="240C33F7"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usvojiti financijski plan korisnika, a predstavničko tijelo proračun za 2024. godinu i projekcije</w:t>
      </w:r>
    </w:p>
    <w:p w14:paraId="03325CEE"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za 2025. i 2026. na razini skupine (druga razina računskog plana).</w:t>
      </w:r>
    </w:p>
    <w:p w14:paraId="3E23D3E7"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7F851CA8"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Prijedlog financijskog plana proračunskih i izvanproračunskih korisnika jedinica lokalne i</w:t>
      </w:r>
    </w:p>
    <w:p w14:paraId="30A964C6"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područne (regionalne) samouprave za razdoblje 2024. - 2026. sastoji se od plana za</w:t>
      </w:r>
    </w:p>
    <w:p w14:paraId="6D8BD0A0"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proračunsku godinu i projekcija za sljedeće dvije godine, a sadrži opći i posebni dio te</w:t>
      </w:r>
    </w:p>
    <w:p w14:paraId="27CF7C05"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obrazloženje financijskog plana.</w:t>
      </w:r>
    </w:p>
    <w:p w14:paraId="5DD582E3"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630B2BB5"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Proračunski korisnici jedinica lokalne i područne (regionalne) samouprave dužni su, kao i</w:t>
      </w:r>
    </w:p>
    <w:p w14:paraId="3E98B88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prethodnih godina, u svom financijskom planu iskazati sve svoje prihode i rashode bez obzira</w:t>
      </w:r>
    </w:p>
    <w:p w14:paraId="03EB59CD"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lastRenderedPageBreak/>
        <w:t>na moguće uplate dijela prihoda korisnika u proračun jedinice lokalne i područne (regionalne)</w:t>
      </w:r>
    </w:p>
    <w:p w14:paraId="76E0C9A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samouprave ili podmirivanje dijela rashoda korisnika izravno s računa proračuna.</w:t>
      </w:r>
    </w:p>
    <w:p w14:paraId="28A46CF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Sukladno odredbama Zakona o proračunu sve što se odnosi na financijski plan proračunskih</w:t>
      </w:r>
    </w:p>
    <w:p w14:paraId="46F46E22"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korisnika jedinica lokalne i područne (regionalne) samouprave, odnosi se i na financijski plan</w:t>
      </w:r>
    </w:p>
    <w:p w14:paraId="2A31EF9C"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upravnih tijela jedinica lokalne i područne (regionalne) samouprave.</w:t>
      </w:r>
    </w:p>
    <w:p w14:paraId="67B11316" w14:textId="77777777" w:rsidR="00375E84" w:rsidRPr="00172B2B" w:rsidRDefault="00375E84" w:rsidP="001A10EE">
      <w:pPr>
        <w:autoSpaceDE w:val="0"/>
        <w:autoSpaceDN w:val="0"/>
        <w:adjustRightInd w:val="0"/>
        <w:spacing w:after="0" w:line="240" w:lineRule="auto"/>
        <w:rPr>
          <w:rFonts w:ascii="Times New Roman" w:hAnsi="Times New Roman" w:cs="Times New Roman"/>
          <w:sz w:val="24"/>
          <w:szCs w:val="24"/>
        </w:rPr>
      </w:pPr>
    </w:p>
    <w:p w14:paraId="58C204AB" w14:textId="77777777" w:rsidR="00CF2968" w:rsidRPr="00172B2B" w:rsidRDefault="00CF2968" w:rsidP="001A10EE">
      <w:pPr>
        <w:autoSpaceDE w:val="0"/>
        <w:autoSpaceDN w:val="0"/>
        <w:adjustRightInd w:val="0"/>
        <w:spacing w:after="0" w:line="240" w:lineRule="auto"/>
        <w:rPr>
          <w:rFonts w:ascii="Times New Roman" w:hAnsi="Times New Roman" w:cs="Times New Roman"/>
          <w:sz w:val="24"/>
          <w:szCs w:val="24"/>
        </w:rPr>
      </w:pPr>
    </w:p>
    <w:p w14:paraId="2639FB86"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FINANCIJSKI PLAN PRORAČUNSKOG KORISNIKA ZA RAZDOBLJE 2024. – 2026.</w:t>
      </w:r>
    </w:p>
    <w:p w14:paraId="197310A2" w14:textId="77777777" w:rsidR="001A10EE" w:rsidRPr="00172B2B" w:rsidRDefault="001A10EE" w:rsidP="001A10EE">
      <w:pPr>
        <w:rPr>
          <w:rFonts w:ascii="Times New Roman" w:hAnsi="Times New Roman" w:cs="Times New Roman"/>
          <w:sz w:val="24"/>
          <w:szCs w:val="24"/>
        </w:rPr>
      </w:pPr>
    </w:p>
    <w:p w14:paraId="538BE77D" w14:textId="77777777" w:rsidR="00172B2B" w:rsidRPr="00172B2B" w:rsidRDefault="00172B2B" w:rsidP="001A10EE">
      <w:pPr>
        <w:rPr>
          <w:rFonts w:ascii="Times New Roman" w:hAnsi="Times New Roman" w:cs="Times New Roman"/>
          <w:noProof/>
          <w:sz w:val="24"/>
          <w:szCs w:val="24"/>
        </w:rPr>
      </w:pPr>
    </w:p>
    <w:p w14:paraId="60FCC9D3" w14:textId="60A5EDFD" w:rsidR="00172B2B" w:rsidRPr="00172B2B" w:rsidRDefault="00172B2B" w:rsidP="001A10EE">
      <w:pPr>
        <w:rPr>
          <w:rFonts w:ascii="Times New Roman" w:hAnsi="Times New Roman" w:cs="Times New Roman"/>
          <w:noProof/>
          <w:sz w:val="24"/>
          <w:szCs w:val="24"/>
        </w:rPr>
      </w:pPr>
    </w:p>
    <w:p w14:paraId="56378B6E" w14:textId="6580CD5C" w:rsidR="00172B2B" w:rsidRPr="00172B2B" w:rsidRDefault="00172B2B" w:rsidP="001A10EE">
      <w:pPr>
        <w:rPr>
          <w:rFonts w:ascii="Times New Roman" w:hAnsi="Times New Roman" w:cs="Times New Roman"/>
          <w:noProof/>
          <w:sz w:val="24"/>
          <w:szCs w:val="24"/>
        </w:rPr>
      </w:pPr>
      <w:r w:rsidRPr="00172B2B">
        <w:rPr>
          <w:rFonts w:ascii="Times New Roman" w:hAnsi="Times New Roman" w:cs="Times New Roman"/>
          <w:noProof/>
          <w:sz w:val="24"/>
          <w:szCs w:val="24"/>
        </w:rPr>
        <w:drawing>
          <wp:inline distT="0" distB="0" distL="0" distR="0" wp14:anchorId="337B0727" wp14:editId="69DB26AF">
            <wp:extent cx="6216015" cy="5173345"/>
            <wp:effectExtent l="0" t="0" r="0" b="8255"/>
            <wp:docPr id="1553633429"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16015" cy="5173345"/>
                    </a:xfrm>
                    <a:prstGeom prst="rect">
                      <a:avLst/>
                    </a:prstGeom>
                    <a:noFill/>
                  </pic:spPr>
                </pic:pic>
              </a:graphicData>
            </a:graphic>
          </wp:inline>
        </w:drawing>
      </w:r>
    </w:p>
    <w:p w14:paraId="0EEE39E5" w14:textId="5D8106E1" w:rsidR="00172B2B" w:rsidRPr="00172B2B" w:rsidRDefault="00172B2B" w:rsidP="001A10EE">
      <w:pPr>
        <w:rPr>
          <w:rFonts w:ascii="Times New Roman" w:hAnsi="Times New Roman" w:cs="Times New Roman"/>
          <w:sz w:val="24"/>
          <w:szCs w:val="24"/>
        </w:rPr>
      </w:pPr>
    </w:p>
    <w:p w14:paraId="6F7D69E5" w14:textId="77777777" w:rsidR="00172B2B" w:rsidRPr="00172B2B" w:rsidRDefault="00172B2B" w:rsidP="001A10EE">
      <w:pPr>
        <w:rPr>
          <w:rFonts w:ascii="Times New Roman" w:hAnsi="Times New Roman" w:cs="Times New Roman"/>
          <w:sz w:val="24"/>
          <w:szCs w:val="24"/>
        </w:rPr>
      </w:pPr>
    </w:p>
    <w:p w14:paraId="23DAB9E6" w14:textId="77777777" w:rsidR="00172B2B" w:rsidRPr="00172B2B" w:rsidRDefault="00172B2B" w:rsidP="001A10EE">
      <w:pPr>
        <w:rPr>
          <w:rFonts w:ascii="Times New Roman" w:hAnsi="Times New Roman" w:cs="Times New Roman"/>
          <w:sz w:val="24"/>
          <w:szCs w:val="24"/>
        </w:rPr>
      </w:pPr>
    </w:p>
    <w:p w14:paraId="22457E29" w14:textId="77777777" w:rsidR="00172B2B" w:rsidRPr="00172B2B" w:rsidRDefault="00172B2B" w:rsidP="00172B2B">
      <w:pPr>
        <w:pStyle w:val="Odlomakpopisa"/>
        <w:autoSpaceDE w:val="0"/>
        <w:autoSpaceDN w:val="0"/>
        <w:adjustRightInd w:val="0"/>
        <w:spacing w:after="0" w:line="240" w:lineRule="auto"/>
        <w:rPr>
          <w:rFonts w:ascii="Times New Roman" w:hAnsi="Times New Roman" w:cs="Times New Roman"/>
          <w:sz w:val="24"/>
          <w:szCs w:val="24"/>
        </w:rPr>
      </w:pPr>
    </w:p>
    <w:p w14:paraId="7B52A567" w14:textId="77777777" w:rsidR="00172B2B" w:rsidRPr="00172B2B" w:rsidRDefault="00172B2B" w:rsidP="00172B2B">
      <w:pPr>
        <w:pStyle w:val="Odlomakpopisa"/>
        <w:autoSpaceDE w:val="0"/>
        <w:autoSpaceDN w:val="0"/>
        <w:adjustRightInd w:val="0"/>
        <w:spacing w:after="0" w:line="240" w:lineRule="auto"/>
        <w:rPr>
          <w:rFonts w:ascii="Times New Roman" w:hAnsi="Times New Roman" w:cs="Times New Roman"/>
          <w:sz w:val="24"/>
          <w:szCs w:val="24"/>
        </w:rPr>
      </w:pPr>
    </w:p>
    <w:p w14:paraId="58916ABF" w14:textId="0FA55181" w:rsidR="001A10EE" w:rsidRPr="00172B2B" w:rsidRDefault="001A10EE" w:rsidP="00172B2B">
      <w:pPr>
        <w:pStyle w:val="Odlomakpopisa"/>
        <w:numPr>
          <w:ilvl w:val="0"/>
          <w:numId w:val="14"/>
        </w:num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lastRenderedPageBreak/>
        <w:t>Rokovi za predlaganje i donošenje financijskog plana proračunskih i</w:t>
      </w:r>
    </w:p>
    <w:p w14:paraId="5DB91500" w14:textId="77777777" w:rsidR="001A10EE" w:rsidRPr="00172B2B" w:rsidRDefault="001A10EE" w:rsidP="00172B2B">
      <w:pPr>
        <w:autoSpaceDE w:val="0"/>
        <w:autoSpaceDN w:val="0"/>
        <w:adjustRightInd w:val="0"/>
        <w:spacing w:after="0" w:line="240" w:lineRule="auto"/>
        <w:ind w:firstLine="708"/>
        <w:rPr>
          <w:rFonts w:ascii="Times New Roman" w:hAnsi="Times New Roman" w:cs="Times New Roman"/>
          <w:sz w:val="24"/>
          <w:szCs w:val="24"/>
        </w:rPr>
      </w:pPr>
      <w:r w:rsidRPr="00172B2B">
        <w:rPr>
          <w:rFonts w:ascii="Times New Roman" w:hAnsi="Times New Roman" w:cs="Times New Roman"/>
          <w:sz w:val="24"/>
          <w:szCs w:val="24"/>
        </w:rPr>
        <w:t>izvanproračunskih korisnika proračuna jedinica lokalne i područne (regionalne)</w:t>
      </w:r>
    </w:p>
    <w:p w14:paraId="20678542" w14:textId="77777777" w:rsidR="007A3165" w:rsidRPr="00172B2B" w:rsidRDefault="001A10EE" w:rsidP="00172B2B">
      <w:pPr>
        <w:autoSpaceDE w:val="0"/>
        <w:autoSpaceDN w:val="0"/>
        <w:adjustRightInd w:val="0"/>
        <w:spacing w:after="0" w:line="240" w:lineRule="auto"/>
        <w:ind w:left="708"/>
        <w:rPr>
          <w:rFonts w:ascii="Times New Roman" w:hAnsi="Times New Roman" w:cs="Times New Roman"/>
          <w:sz w:val="24"/>
          <w:szCs w:val="24"/>
        </w:rPr>
      </w:pPr>
      <w:r w:rsidRPr="00172B2B">
        <w:rPr>
          <w:rFonts w:ascii="Times New Roman" w:hAnsi="Times New Roman" w:cs="Times New Roman"/>
          <w:sz w:val="24"/>
          <w:szCs w:val="24"/>
        </w:rPr>
        <w:t>samouprave</w:t>
      </w:r>
    </w:p>
    <w:p w14:paraId="431FA111" w14:textId="77777777" w:rsidR="00172B2B" w:rsidRPr="00172B2B" w:rsidRDefault="00172B2B" w:rsidP="007838A1">
      <w:pPr>
        <w:autoSpaceDE w:val="0"/>
        <w:autoSpaceDN w:val="0"/>
        <w:adjustRightInd w:val="0"/>
        <w:spacing w:after="0" w:line="240" w:lineRule="auto"/>
        <w:rPr>
          <w:rFonts w:ascii="Times New Roman" w:hAnsi="Times New Roman" w:cs="Times New Roman"/>
          <w:sz w:val="24"/>
          <w:szCs w:val="24"/>
        </w:rPr>
      </w:pPr>
    </w:p>
    <w:p w14:paraId="6531257C" w14:textId="77777777" w:rsidR="00172B2B" w:rsidRPr="00172B2B" w:rsidRDefault="00172B2B" w:rsidP="007838A1">
      <w:pPr>
        <w:autoSpaceDE w:val="0"/>
        <w:autoSpaceDN w:val="0"/>
        <w:adjustRightInd w:val="0"/>
        <w:spacing w:after="0" w:line="240" w:lineRule="auto"/>
        <w:rPr>
          <w:rFonts w:ascii="Times New Roman" w:hAnsi="Times New Roman" w:cs="Times New Roman"/>
          <w:sz w:val="24"/>
          <w:szCs w:val="24"/>
        </w:rPr>
      </w:pPr>
    </w:p>
    <w:p w14:paraId="3E6FE9CD" w14:textId="4D3DFFBD" w:rsidR="007838A1" w:rsidRPr="00172B2B" w:rsidRDefault="00172B2B" w:rsidP="007838A1">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noProof/>
          <w:sz w:val="24"/>
          <w:szCs w:val="24"/>
        </w:rPr>
        <w:drawing>
          <wp:inline distT="0" distB="0" distL="0" distR="0" wp14:anchorId="11427AF1" wp14:editId="0BB22B91">
            <wp:extent cx="4591050" cy="4381500"/>
            <wp:effectExtent l="0" t="0" r="0" b="0"/>
            <wp:docPr id="145200898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4381500"/>
                    </a:xfrm>
                    <a:prstGeom prst="rect">
                      <a:avLst/>
                    </a:prstGeom>
                    <a:noFill/>
                    <a:ln>
                      <a:noFill/>
                    </a:ln>
                  </pic:spPr>
                </pic:pic>
              </a:graphicData>
            </a:graphic>
          </wp:inline>
        </w:drawing>
      </w:r>
    </w:p>
    <w:p w14:paraId="6669397C" w14:textId="28AB6D7D" w:rsidR="007A3165" w:rsidRPr="00172B2B" w:rsidRDefault="00172B2B" w:rsidP="001A10EE">
      <w:pPr>
        <w:rPr>
          <w:rFonts w:ascii="Times New Roman" w:hAnsi="Times New Roman" w:cs="Times New Roman"/>
          <w:sz w:val="24"/>
          <w:szCs w:val="24"/>
        </w:rPr>
      </w:pPr>
      <w:r w:rsidRPr="00172B2B">
        <w:rPr>
          <w:rFonts w:ascii="Times New Roman" w:hAnsi="Times New Roman" w:cs="Times New Roman"/>
          <w:sz w:val="24"/>
          <w:szCs w:val="24"/>
        </w:rPr>
        <w:br w:type="textWrapping" w:clear="all"/>
      </w:r>
    </w:p>
    <w:p w14:paraId="6DCF25FB" w14:textId="77777777" w:rsidR="007838A1" w:rsidRPr="00172B2B" w:rsidRDefault="007838A1" w:rsidP="001A10EE">
      <w:pPr>
        <w:rPr>
          <w:rFonts w:ascii="Times New Roman" w:hAnsi="Times New Roman" w:cs="Times New Roman"/>
          <w:sz w:val="24"/>
          <w:szCs w:val="24"/>
        </w:rPr>
      </w:pPr>
    </w:p>
    <w:p w14:paraId="3EF10984" w14:textId="1C6410E8" w:rsidR="001A10EE" w:rsidRPr="00172B2B" w:rsidRDefault="001A10EE" w:rsidP="00172B2B">
      <w:pPr>
        <w:pStyle w:val="Odlomakpopisa"/>
        <w:numPr>
          <w:ilvl w:val="0"/>
          <w:numId w:val="14"/>
        </w:num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Izmjene i dopune financijskog plana</w:t>
      </w:r>
    </w:p>
    <w:p w14:paraId="4006E631" w14:textId="77777777" w:rsidR="007A3165" w:rsidRPr="00172B2B" w:rsidRDefault="007A3165" w:rsidP="001A10EE">
      <w:pPr>
        <w:autoSpaceDE w:val="0"/>
        <w:autoSpaceDN w:val="0"/>
        <w:adjustRightInd w:val="0"/>
        <w:spacing w:after="0" w:line="240" w:lineRule="auto"/>
        <w:rPr>
          <w:rFonts w:ascii="Times New Roman" w:hAnsi="Times New Roman" w:cs="Times New Roman"/>
          <w:sz w:val="24"/>
          <w:szCs w:val="24"/>
        </w:rPr>
      </w:pPr>
    </w:p>
    <w:p w14:paraId="63B9CC73"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Sukladno odredbama Zakona o proračunu izmjenama i dopunama financijskog plana mijenja</w:t>
      </w:r>
    </w:p>
    <w:p w14:paraId="69E55222"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se isključivo usvojeni plan za tekuću proračunsku godinu. Na postupak donošenja izmjena i</w:t>
      </w:r>
    </w:p>
    <w:p w14:paraId="1D8CD3F2"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dopuna financijskog plana na odgovarajući se način primjenjuju odredbe Zakona o proračunu</w:t>
      </w:r>
    </w:p>
    <w:p w14:paraId="3EABAC7A"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za postupak donošenja financijskog plana. Izmjenama i dopunama financijskog plana ne mogu</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se umanjiti rashodi i izdaci ispod razine izvršenja i preuzetih obveza po investicijskim</w:t>
      </w:r>
    </w:p>
    <w:p w14:paraId="5B049BAF"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projektima te preuzetih obveza iz ugovora koji zahtijevaju plaćanje u sljedećim godinama.</w:t>
      </w:r>
    </w:p>
    <w:p w14:paraId="5AD580D5"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4BBC59AC" w14:textId="77777777" w:rsidR="002D7A77"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Ostvareni namjenski prihodi i primici i ostvareni vlastiti prihodi te rashodi i izdaci izvršeni iznad</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iznosa utvrđenih u financijskom planu, izmjenama i dopunama financijskog plana moraju se</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planirati minimalno na razini ostvarenih prihoda i primitaka, odnosno izvršenih rashoda i</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izdataka. Uz svake izmjene i dopune financijskog plana obvezno je izraditi obrazloženja</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izmjena i dopuna financijskog plana (općeg i posebnog dijela).</w:t>
      </w:r>
    </w:p>
    <w:p w14:paraId="13C903B6" w14:textId="77777777" w:rsidR="002D7A77" w:rsidRPr="00172B2B" w:rsidRDefault="002D7A77" w:rsidP="001A10EE">
      <w:pPr>
        <w:autoSpaceDE w:val="0"/>
        <w:autoSpaceDN w:val="0"/>
        <w:adjustRightInd w:val="0"/>
        <w:spacing w:after="0" w:line="240" w:lineRule="auto"/>
        <w:rPr>
          <w:rFonts w:ascii="Times New Roman" w:hAnsi="Times New Roman" w:cs="Times New Roman"/>
          <w:sz w:val="24"/>
          <w:szCs w:val="24"/>
        </w:rPr>
      </w:pPr>
    </w:p>
    <w:p w14:paraId="21A029FF" w14:textId="77777777" w:rsidR="007838A1" w:rsidRPr="00172B2B" w:rsidRDefault="007838A1" w:rsidP="001A10EE">
      <w:pPr>
        <w:autoSpaceDE w:val="0"/>
        <w:autoSpaceDN w:val="0"/>
        <w:adjustRightInd w:val="0"/>
        <w:spacing w:after="0" w:line="240" w:lineRule="auto"/>
        <w:rPr>
          <w:rFonts w:ascii="Times New Roman" w:hAnsi="Times New Roman" w:cs="Times New Roman"/>
          <w:sz w:val="24"/>
          <w:szCs w:val="24"/>
        </w:rPr>
      </w:pPr>
    </w:p>
    <w:p w14:paraId="1877DD0D" w14:textId="77777777" w:rsidR="001A10EE" w:rsidRPr="00172B2B" w:rsidRDefault="001A10EE" w:rsidP="001A10EE">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lastRenderedPageBreak/>
        <w:t>Preporuka je da jedinice odlukom o izvršavanju proračuna jedinice lokalne i područne</w:t>
      </w:r>
    </w:p>
    <w:p w14:paraId="49680527" w14:textId="77777777" w:rsidR="007A3165" w:rsidRPr="00172B2B" w:rsidRDefault="001A10EE" w:rsidP="007A3165">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sz w:val="24"/>
          <w:szCs w:val="24"/>
        </w:rPr>
        <w:t>(regionalne) samouprave razrade proceduru za donošenje izmjena i dopuna financijskih</w:t>
      </w:r>
      <w:r w:rsidR="007838A1" w:rsidRPr="00172B2B">
        <w:rPr>
          <w:rFonts w:ascii="Times New Roman" w:hAnsi="Times New Roman" w:cs="Times New Roman"/>
          <w:sz w:val="24"/>
          <w:szCs w:val="24"/>
        </w:rPr>
        <w:t xml:space="preserve"> </w:t>
      </w:r>
      <w:r w:rsidRPr="00172B2B">
        <w:rPr>
          <w:rFonts w:ascii="Times New Roman" w:hAnsi="Times New Roman" w:cs="Times New Roman"/>
          <w:sz w:val="24"/>
          <w:szCs w:val="24"/>
        </w:rPr>
        <w:t>planova proračunskih korisnika iz svoje nadležnosti, a svi proračunski korisnici jedinice lokalne</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i područne (regionalne) samouprave dužni su uskladiti svoj financijski plan s izmijenjenim i</w:t>
      </w:r>
      <w:r w:rsidR="007A3165" w:rsidRPr="00172B2B">
        <w:rPr>
          <w:rFonts w:ascii="Times New Roman" w:hAnsi="Times New Roman" w:cs="Times New Roman"/>
          <w:sz w:val="24"/>
          <w:szCs w:val="24"/>
        </w:rPr>
        <w:t xml:space="preserve"> </w:t>
      </w:r>
      <w:r w:rsidRPr="00172B2B">
        <w:rPr>
          <w:rFonts w:ascii="Times New Roman" w:hAnsi="Times New Roman" w:cs="Times New Roman"/>
          <w:sz w:val="24"/>
          <w:szCs w:val="24"/>
        </w:rPr>
        <w:t>dopunjenim nadležnim proračunom.</w:t>
      </w:r>
    </w:p>
    <w:p w14:paraId="369A834F" w14:textId="77777777" w:rsidR="002D7A77" w:rsidRPr="00172B2B" w:rsidRDefault="002D7A77" w:rsidP="007A3165">
      <w:pPr>
        <w:autoSpaceDE w:val="0"/>
        <w:autoSpaceDN w:val="0"/>
        <w:adjustRightInd w:val="0"/>
        <w:spacing w:after="0" w:line="240" w:lineRule="auto"/>
        <w:rPr>
          <w:rFonts w:ascii="Times New Roman" w:hAnsi="Times New Roman" w:cs="Times New Roman"/>
          <w:sz w:val="24"/>
          <w:szCs w:val="24"/>
        </w:rPr>
      </w:pPr>
    </w:p>
    <w:p w14:paraId="4D475D76" w14:textId="77777777" w:rsidR="00375E84" w:rsidRPr="00172B2B" w:rsidRDefault="00375E84" w:rsidP="007A3165">
      <w:pPr>
        <w:autoSpaceDE w:val="0"/>
        <w:autoSpaceDN w:val="0"/>
        <w:adjustRightInd w:val="0"/>
        <w:spacing w:after="0" w:line="240" w:lineRule="auto"/>
        <w:rPr>
          <w:rFonts w:ascii="Times New Roman" w:hAnsi="Times New Roman" w:cs="Times New Roman"/>
          <w:sz w:val="24"/>
          <w:szCs w:val="24"/>
        </w:rPr>
      </w:pPr>
    </w:p>
    <w:p w14:paraId="4064D8CB" w14:textId="77777777" w:rsidR="00375E84" w:rsidRPr="00172B2B" w:rsidRDefault="00375E84" w:rsidP="007A3165">
      <w:pPr>
        <w:autoSpaceDE w:val="0"/>
        <w:autoSpaceDN w:val="0"/>
        <w:adjustRightInd w:val="0"/>
        <w:spacing w:after="0" w:line="240" w:lineRule="auto"/>
        <w:rPr>
          <w:rFonts w:ascii="Times New Roman" w:hAnsi="Times New Roman" w:cs="Times New Roman"/>
          <w:sz w:val="24"/>
          <w:szCs w:val="24"/>
        </w:rPr>
      </w:pPr>
    </w:p>
    <w:p w14:paraId="60AC34E1" w14:textId="77777777" w:rsidR="002D7A77" w:rsidRPr="00172B2B" w:rsidRDefault="007A3165" w:rsidP="00172B2B">
      <w:pPr>
        <w:pStyle w:val="Odlomakpopisa"/>
        <w:numPr>
          <w:ilvl w:val="0"/>
          <w:numId w:val="14"/>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Transparentnost proračuna</w:t>
      </w:r>
    </w:p>
    <w:p w14:paraId="49758B02" w14:textId="77777777" w:rsidR="002D7A77" w:rsidRPr="00172B2B" w:rsidRDefault="002D7A77" w:rsidP="002D7A77">
      <w:pPr>
        <w:autoSpaceDE w:val="0"/>
        <w:autoSpaceDN w:val="0"/>
        <w:adjustRightInd w:val="0"/>
        <w:spacing w:after="0" w:line="240" w:lineRule="auto"/>
        <w:ind w:left="360"/>
        <w:rPr>
          <w:rFonts w:ascii="Times New Roman" w:hAnsi="Times New Roman" w:cs="Times New Roman"/>
          <w:color w:val="000000"/>
          <w:sz w:val="24"/>
          <w:szCs w:val="24"/>
        </w:rPr>
      </w:pPr>
    </w:p>
    <w:p w14:paraId="3D629B73"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Zakonom o proračunu propisana je obveza objave dokumenata i informacija o trošenju</w:t>
      </w:r>
    </w:p>
    <w:p w14:paraId="0AF26ECF"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sredstava. Kako bi se osiguralo ostvarenje načela transparentnosti i slobodan pristup</w:t>
      </w:r>
    </w:p>
    <w:p w14:paraId="1191C17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informacijama kao i njihovo povezivanje, preuzimanje i ponovno korištenje materijali vezani</w:t>
      </w:r>
    </w:p>
    <w:p w14:paraId="1FB87410"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uz proračun i njegove izmjene objavljuju se u formatu pogodnom za daljnju obradu (word i</w:t>
      </w:r>
    </w:p>
    <w:p w14:paraId="02493E44" w14:textId="77777777" w:rsidR="002D7A77"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proofErr w:type="spellStart"/>
      <w:r w:rsidRPr="00172B2B">
        <w:rPr>
          <w:rFonts w:ascii="Times New Roman" w:hAnsi="Times New Roman" w:cs="Times New Roman"/>
          <w:color w:val="000000"/>
          <w:sz w:val="24"/>
          <w:szCs w:val="24"/>
        </w:rPr>
        <w:t>excel</w:t>
      </w:r>
      <w:proofErr w:type="spellEnd"/>
      <w:r w:rsidRPr="00172B2B">
        <w:rPr>
          <w:rFonts w:ascii="Times New Roman" w:hAnsi="Times New Roman" w:cs="Times New Roman"/>
          <w:color w:val="000000"/>
          <w:sz w:val="24"/>
          <w:szCs w:val="24"/>
        </w:rPr>
        <w:t>).</w:t>
      </w:r>
    </w:p>
    <w:p w14:paraId="4EE66FDF"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795EAE8E"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Sukladno odredbama članka 144. Zakona o proračunu u nastavku navodimo obaveze vezano</w:t>
      </w:r>
    </w:p>
    <w:p w14:paraId="405B67AF"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za transparentnost:</w:t>
      </w:r>
    </w:p>
    <w:p w14:paraId="0DA58636"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 i izmjene i dopune proračuna, odluka o privremenom financiranju, odluka i</w:t>
      </w:r>
    </w:p>
    <w:p w14:paraId="221A6CBB"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izmjene i dopune odluke o izvršavanju proračuna jedinica lokalne i područne</w:t>
      </w:r>
    </w:p>
    <w:p w14:paraId="6ACA14BA"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(regionalne) samouprave, financijski planovi i izmjene i dopune financijskih planova</w:t>
      </w:r>
    </w:p>
    <w:p w14:paraId="658A18C2"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izvanproračunskih korisnika, polugodišnji i godišnji izvještaj o izvršenju proračuna te</w:t>
      </w:r>
    </w:p>
    <w:p w14:paraId="7DE4A79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polugodišnji i godišnji izvještaj o izvršenju financijskog plana izvanproračunskog</w:t>
      </w:r>
    </w:p>
    <w:p w14:paraId="47FF0368"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korisnika objavljuju se na mrežnim stranicama jedinica lokalne i područne (regionalne)</w:t>
      </w:r>
    </w:p>
    <w:p w14:paraId="1D3290D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samouprave i izvanproračunskog korisnika,</w:t>
      </w:r>
    </w:p>
    <w:p w14:paraId="37EA41D9"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Financijski plan i izmjene i dopune financijskog plana, polugodišnji i godišnji izvještaj o</w:t>
      </w:r>
    </w:p>
    <w:p w14:paraId="30ECE3D8"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izvršenju financijskog plana proračunskog korisnika objavljuje se na njegovim mrežnim</w:t>
      </w:r>
    </w:p>
    <w:p w14:paraId="0AEDB049"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stranicama, odnosno na mrežnim stranicama jedinica lokalne i područne (regionalne)</w:t>
      </w:r>
    </w:p>
    <w:p w14:paraId="5B9099B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samouprave ako proračunski korisnik nema svoje mrežne stranice,</w:t>
      </w:r>
    </w:p>
    <w:p w14:paraId="5564E57B"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Opći i posebni dio proračuna, odluka o izvršavanju proračuna jedinica lokalne i</w:t>
      </w:r>
    </w:p>
    <w:p w14:paraId="1AC472C8"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područne (regionalne) samouprave, izmjene i dopune proračuna te izmjene i dopune</w:t>
      </w:r>
    </w:p>
    <w:p w14:paraId="7D7426FD"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odluke o izvršavanju proračuna, odluka o privremenom financiranju te opći i posebni</w:t>
      </w:r>
    </w:p>
    <w:p w14:paraId="6C08AAE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dio polugodišnjeg i godišnjeg izvještaja o izvršenju proračuna objavljuju se u</w:t>
      </w:r>
    </w:p>
    <w:p w14:paraId="2392190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službenom glasilu jedinica lokalne i područne (regionalne) samouprave,</w:t>
      </w:r>
    </w:p>
    <w:p w14:paraId="36D797D5"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Opći i posebni dio polugodišnjeg i godišnjeg izvještaja o izvršenju financijskog plana</w:t>
      </w:r>
    </w:p>
    <w:p w14:paraId="07E8A23F"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izvanproračunskog korisnika objavljuju se u službenom glasilu jedinica lokalne i</w:t>
      </w:r>
    </w:p>
    <w:p w14:paraId="02A4F287"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područne (regionalne) samouprave,</w:t>
      </w:r>
    </w:p>
    <w:p w14:paraId="0CF8DBE5"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Vodič za građane o proračunu, izmjenama i dopunama proračuna te polugodišnjem i</w:t>
      </w:r>
    </w:p>
    <w:p w14:paraId="4218922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godišnjem izvještaju o izvršenju proračuna objavljuje se na mrežnim stranicama</w:t>
      </w:r>
    </w:p>
    <w:p w14:paraId="43AC726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jedinica lokalne i područne (regionalne) samouprave.</w:t>
      </w:r>
    </w:p>
    <w:p w14:paraId="49AC939B"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16</w:t>
      </w:r>
    </w:p>
    <w:p w14:paraId="7CA78D21"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U skladu sa dosadašnjom praksom, a vezano za transparentnost proračuna, Ministarstvo</w:t>
      </w:r>
    </w:p>
    <w:p w14:paraId="42DE1370"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financija i dalje preporuča jedinicama lokalne i područne (regionalne) samouprave da na</w:t>
      </w:r>
    </w:p>
    <w:p w14:paraId="5C9C919E"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svojim mrežnim stranicama:</w:t>
      </w:r>
    </w:p>
    <w:p w14:paraId="7D8B43BF"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lastRenderedPageBreak/>
        <w:t>sve ključne proračunske dokumente (a posebice prijedlog proračuna, izglasani</w:t>
      </w:r>
    </w:p>
    <w:p w14:paraId="62B2DF0F"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 izmjene i dopune proračuna, proračunski vodič, polugodišnji i godišnji</w:t>
      </w:r>
    </w:p>
    <w:p w14:paraId="03243937"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izvještaji o izvršenju proračuna) objavljuju u jedinstvenom folderu nazvanom</w:t>
      </w:r>
    </w:p>
    <w:p w14:paraId="1FB3A2A3"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 na kojeg postoji direktan link s naslovne stranice,</w:t>
      </w:r>
    </w:p>
    <w:p w14:paraId="49730EC6"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pri objavi prijedloga proračuna, izglasanog proračuna te izmjena i dopuna proračuna</w:t>
      </w:r>
    </w:p>
    <w:p w14:paraId="5E0A9E51"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objavljuju kompletan sadržaj tih proračunskih dokumenata (opći i posebni dio</w:t>
      </w:r>
    </w:p>
    <w:p w14:paraId="586861D7"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proračuna),</w:t>
      </w:r>
    </w:p>
    <w:p w14:paraId="377E5BD5"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usvojeni proračuni objavljuju, sukladno odredbama Zakona o proračunu, za</w:t>
      </w:r>
    </w:p>
    <w:p w14:paraId="0595D559"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proračunsku godinu i za sljedeće dvije godine na drugoj razini računskoga plana (na</w:t>
      </w:r>
    </w:p>
    <w:p w14:paraId="60265813"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razini skupine) i</w:t>
      </w:r>
    </w:p>
    <w:p w14:paraId="3A0DB934"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proračunske vodiče za građane, na zahtjev građana, distribuiraju građanima svake</w:t>
      </w:r>
    </w:p>
    <w:p w14:paraId="3B86D3BC" w14:textId="77777777" w:rsidR="007A3165" w:rsidRPr="00172B2B" w:rsidRDefault="007A3165" w:rsidP="002D7A77">
      <w:pPr>
        <w:pStyle w:val="Odlomakpopisa"/>
        <w:numPr>
          <w:ilvl w:val="0"/>
          <w:numId w:val="5"/>
        </w:num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godine u obliku brošure (fizičke i elektroničke), o trošku proračuna.</w:t>
      </w:r>
    </w:p>
    <w:p w14:paraId="3E75B6F4" w14:textId="77777777" w:rsidR="002D7A77" w:rsidRPr="00172B2B" w:rsidRDefault="002D7A77" w:rsidP="00C11481">
      <w:pPr>
        <w:pStyle w:val="Odlomakpopisa"/>
        <w:autoSpaceDE w:val="0"/>
        <w:autoSpaceDN w:val="0"/>
        <w:adjustRightInd w:val="0"/>
        <w:spacing w:after="0" w:line="240" w:lineRule="auto"/>
        <w:rPr>
          <w:rFonts w:ascii="Times New Roman" w:hAnsi="Times New Roman" w:cs="Times New Roman"/>
          <w:color w:val="000000"/>
          <w:sz w:val="24"/>
          <w:szCs w:val="24"/>
        </w:rPr>
      </w:pPr>
    </w:p>
    <w:p w14:paraId="44F8787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Zakonom o lokalnoj i područnoj (regionalnoj) samoupravi (Narodne novine, br. 33/01, 60/01,</w:t>
      </w:r>
    </w:p>
    <w:p w14:paraId="0B31840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129/05, 109/07, 125/08, 36/09, 150/11, 144/12, 19/13 - pročišćeni tekst, 137/15 - ispravak,</w:t>
      </w:r>
    </w:p>
    <w:p w14:paraId="05A2FFDA"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123/17, 98/19 i 144/20) propisano je da su općina, grad i županija dužne na svojim mrežnim</w:t>
      </w:r>
    </w:p>
    <w:p w14:paraId="593DF29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stranicama javno objaviti informacije o trošenju proračunskih sredstava tako da te</w:t>
      </w:r>
    </w:p>
    <w:p w14:paraId="38912F27"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 xml:space="preserve">informacije budu lako dostupne i </w:t>
      </w:r>
      <w:proofErr w:type="spellStart"/>
      <w:r w:rsidRPr="00172B2B">
        <w:rPr>
          <w:rFonts w:ascii="Times New Roman" w:hAnsi="Times New Roman" w:cs="Times New Roman"/>
          <w:color w:val="000000"/>
          <w:sz w:val="24"/>
          <w:szCs w:val="24"/>
        </w:rPr>
        <w:t>pretražive</w:t>
      </w:r>
      <w:proofErr w:type="spellEnd"/>
      <w:r w:rsidRPr="00172B2B">
        <w:rPr>
          <w:rFonts w:ascii="Times New Roman" w:hAnsi="Times New Roman" w:cs="Times New Roman"/>
          <w:color w:val="000000"/>
          <w:sz w:val="24"/>
          <w:szCs w:val="24"/>
        </w:rPr>
        <w:t>. Zakonom o proračunu također je propisano da</w:t>
      </w:r>
    </w:p>
    <w:p w14:paraId="34CAB4E6"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su jedinice lokalne i područne (regionalne) samouprave, proračunski i izvanproračunski</w:t>
      </w:r>
    </w:p>
    <w:p w14:paraId="5F8AAB34"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korisnici dužni javno objavljivati informacije o trošenju sredstava na svojim mrežnim</w:t>
      </w:r>
    </w:p>
    <w:p w14:paraId="65D6C6F3"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 xml:space="preserve">stranicama na način da te informacije budu lako dostupne, </w:t>
      </w:r>
      <w:proofErr w:type="spellStart"/>
      <w:r w:rsidRPr="00172B2B">
        <w:rPr>
          <w:rFonts w:ascii="Times New Roman" w:hAnsi="Times New Roman" w:cs="Times New Roman"/>
          <w:color w:val="000000"/>
          <w:sz w:val="24"/>
          <w:szCs w:val="24"/>
        </w:rPr>
        <w:t>pretražive</w:t>
      </w:r>
      <w:proofErr w:type="spellEnd"/>
      <w:r w:rsidRPr="00172B2B">
        <w:rPr>
          <w:rFonts w:ascii="Times New Roman" w:hAnsi="Times New Roman" w:cs="Times New Roman"/>
          <w:color w:val="000000"/>
          <w:sz w:val="24"/>
          <w:szCs w:val="24"/>
        </w:rPr>
        <w:t xml:space="preserve"> i strojno čitljive.</w:t>
      </w:r>
    </w:p>
    <w:p w14:paraId="7B9B490B"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0F4E1300"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Ministar financija je, sukladno članku 144. Zakona o proračunu, u svibnju 2023. godine</w:t>
      </w:r>
    </w:p>
    <w:p w14:paraId="413B9EF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donio Naputak o okvirnom sadržaju, minimalnom skupu podataka te načinu javne objave</w:t>
      </w:r>
    </w:p>
    <w:p w14:paraId="274E843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informacija o trošenju sredstava na mrežnim stranicama jedinica lokalne i područne</w:t>
      </w:r>
    </w:p>
    <w:p w14:paraId="0A33BA1B"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(regionalne) samouprave te proračunskih i izvanproračunskih korisnika državnog proračuna</w:t>
      </w:r>
    </w:p>
    <w:p w14:paraId="7D775C25"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 proračuna jedinica lokalne i područne (regionalne) samouprave. Isti je objavljen u Narodnim</w:t>
      </w:r>
    </w:p>
    <w:p w14:paraId="6716FC70"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FF"/>
          <w:sz w:val="24"/>
          <w:szCs w:val="24"/>
        </w:rPr>
      </w:pPr>
      <w:r w:rsidRPr="00172B2B">
        <w:rPr>
          <w:rFonts w:ascii="Times New Roman" w:hAnsi="Times New Roman" w:cs="Times New Roman"/>
          <w:color w:val="000000"/>
          <w:sz w:val="24"/>
          <w:szCs w:val="24"/>
        </w:rPr>
        <w:t>novinama broj 59/23 od 2. lipnja 2023., (</w:t>
      </w:r>
      <w:hyperlink r:id="rId9" w:history="1">
        <w:r w:rsidR="002D7A77" w:rsidRPr="00172B2B">
          <w:rPr>
            <w:rStyle w:val="Hiperveza"/>
            <w:rFonts w:ascii="Times New Roman" w:hAnsi="Times New Roman" w:cs="Times New Roman"/>
            <w:sz w:val="24"/>
            <w:szCs w:val="24"/>
          </w:rPr>
          <w:t>https://narodnenovine</w:t>
        </w:r>
      </w:hyperlink>
      <w:r w:rsidRPr="00172B2B">
        <w:rPr>
          <w:rFonts w:ascii="Times New Roman" w:hAnsi="Times New Roman" w:cs="Times New Roman"/>
          <w:color w:val="0000FF"/>
          <w:sz w:val="24"/>
          <w:szCs w:val="24"/>
        </w:rPr>
        <w:t>.</w:t>
      </w:r>
      <w:r w:rsidR="002D7A77" w:rsidRPr="00172B2B">
        <w:rPr>
          <w:rFonts w:ascii="Times New Roman" w:hAnsi="Times New Roman" w:cs="Times New Roman"/>
          <w:color w:val="0000FF"/>
          <w:sz w:val="24"/>
          <w:szCs w:val="24"/>
        </w:rPr>
        <w:t xml:space="preserve"> </w:t>
      </w:r>
      <w:r w:rsidRPr="00172B2B">
        <w:rPr>
          <w:rFonts w:ascii="Times New Roman" w:hAnsi="Times New Roman" w:cs="Times New Roman"/>
          <w:color w:val="0000FF"/>
          <w:sz w:val="24"/>
          <w:szCs w:val="24"/>
        </w:rPr>
        <w:t>nn.hr/</w:t>
      </w:r>
      <w:proofErr w:type="spellStart"/>
      <w:r w:rsidRPr="00172B2B">
        <w:rPr>
          <w:rFonts w:ascii="Times New Roman" w:hAnsi="Times New Roman" w:cs="Times New Roman"/>
          <w:color w:val="0000FF"/>
          <w:sz w:val="24"/>
          <w:szCs w:val="24"/>
        </w:rPr>
        <w:t>clanci</w:t>
      </w:r>
      <w:proofErr w:type="spellEnd"/>
      <w:r w:rsidRPr="00172B2B">
        <w:rPr>
          <w:rFonts w:ascii="Times New Roman" w:hAnsi="Times New Roman" w:cs="Times New Roman"/>
          <w:color w:val="0000FF"/>
          <w:sz w:val="24"/>
          <w:szCs w:val="24"/>
        </w:rPr>
        <w:t>/</w:t>
      </w:r>
      <w:proofErr w:type="spellStart"/>
      <w:r w:rsidRPr="00172B2B">
        <w:rPr>
          <w:rFonts w:ascii="Times New Roman" w:hAnsi="Times New Roman" w:cs="Times New Roman"/>
          <w:color w:val="0000FF"/>
          <w:sz w:val="24"/>
          <w:szCs w:val="24"/>
        </w:rPr>
        <w:t>sluzbeni</w:t>
      </w:r>
      <w:proofErr w:type="spellEnd"/>
      <w:r w:rsidRPr="00172B2B">
        <w:rPr>
          <w:rFonts w:ascii="Times New Roman" w:hAnsi="Times New Roman" w:cs="Times New Roman"/>
          <w:color w:val="0000FF"/>
          <w:sz w:val="24"/>
          <w:szCs w:val="24"/>
        </w:rPr>
        <w:t>/2023_06_59_1003.html</w:t>
      </w:r>
      <w:r w:rsidRPr="00172B2B">
        <w:rPr>
          <w:rFonts w:ascii="Times New Roman" w:hAnsi="Times New Roman" w:cs="Times New Roman"/>
          <w:color w:val="000000"/>
          <w:sz w:val="24"/>
          <w:szCs w:val="24"/>
        </w:rPr>
        <w:t>) te na mrežnoj stranici Ministarstva</w:t>
      </w:r>
    </w:p>
    <w:p w14:paraId="77DF3E6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FF"/>
          <w:sz w:val="24"/>
          <w:szCs w:val="24"/>
        </w:rPr>
      </w:pPr>
      <w:r w:rsidRPr="00172B2B">
        <w:rPr>
          <w:rFonts w:ascii="Times New Roman" w:hAnsi="Times New Roman" w:cs="Times New Roman"/>
          <w:color w:val="000000"/>
          <w:sz w:val="24"/>
          <w:szCs w:val="24"/>
        </w:rPr>
        <w:t>financija (</w:t>
      </w:r>
      <w:r w:rsidRPr="00172B2B">
        <w:rPr>
          <w:rFonts w:ascii="Times New Roman" w:hAnsi="Times New Roman" w:cs="Times New Roman"/>
          <w:color w:val="0000FF"/>
          <w:sz w:val="24"/>
          <w:szCs w:val="24"/>
        </w:rPr>
        <w:t>https://mfin.gov.hr/istaknute-teme/drzavna-riznica/izvrsenjeproracuna/</w:t>
      </w:r>
    </w:p>
    <w:p w14:paraId="4A6A274C"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FF"/>
          <w:sz w:val="24"/>
          <w:szCs w:val="24"/>
        </w:rPr>
        <w:t>institucionalni-okvir-164/164</w:t>
      </w:r>
      <w:r w:rsidRPr="00172B2B">
        <w:rPr>
          <w:rFonts w:ascii="Times New Roman" w:hAnsi="Times New Roman" w:cs="Times New Roman"/>
          <w:color w:val="000000"/>
          <w:sz w:val="24"/>
          <w:szCs w:val="24"/>
        </w:rPr>
        <w:t>).</w:t>
      </w:r>
    </w:p>
    <w:p w14:paraId="657270D7"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725FC6F6"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Obveznici primjene Naputka su jedinice lokalne i područne (regionalne) samouprave,</w:t>
      </w:r>
    </w:p>
    <w:p w14:paraId="5F60C9EB"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proračunski i izvanproračunski korisnici državnog proračuna i proračuna jedinica lokalne i</w:t>
      </w:r>
    </w:p>
    <w:p w14:paraId="1F2F34A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područne (regionalne) samouprave.</w:t>
      </w:r>
    </w:p>
    <w:p w14:paraId="7102F2C8"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1928CAE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Naputkom se propisuje okvirni sadržaj, minimalni skup podataka te način javne objave</w:t>
      </w:r>
    </w:p>
    <w:p w14:paraId="4CFC0D0D"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informacija o trošenju sredstava na mrežnim stranicama jedinica lokalne i područne</w:t>
      </w:r>
    </w:p>
    <w:p w14:paraId="7C8D9A77"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(regionalne) samouprave te proračunskih korisnika u njihovoj nadležnosti.</w:t>
      </w:r>
    </w:p>
    <w:p w14:paraId="5F6BB2E7" w14:textId="77777777" w:rsidR="002D7A77" w:rsidRPr="00172B2B" w:rsidRDefault="002D7A77" w:rsidP="007A3165">
      <w:pPr>
        <w:autoSpaceDE w:val="0"/>
        <w:autoSpaceDN w:val="0"/>
        <w:adjustRightInd w:val="0"/>
        <w:spacing w:after="0" w:line="240" w:lineRule="auto"/>
        <w:rPr>
          <w:rFonts w:ascii="Times New Roman" w:hAnsi="Times New Roman" w:cs="Times New Roman"/>
          <w:color w:val="000000"/>
          <w:sz w:val="24"/>
          <w:szCs w:val="24"/>
        </w:rPr>
      </w:pPr>
    </w:p>
    <w:p w14:paraId="41BB2282"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Ovaj Naputak stupio je na snagu osmog dana od dana objave u Narodnim novinama,</w:t>
      </w:r>
    </w:p>
    <w:p w14:paraId="43279FDB"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međutim, one jedinice koje još nisu krenule s primjenom, podsjećamo da su, sukladno</w:t>
      </w:r>
    </w:p>
    <w:p w14:paraId="622C6B19" w14:textId="77777777" w:rsidR="007A3165" w:rsidRPr="00172B2B" w:rsidRDefault="007A3165" w:rsidP="007A3165">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odredbama Naputka, prve informacije o trošenju sredstava dužne objaviti za mjesec siječanj</w:t>
      </w:r>
    </w:p>
    <w:p w14:paraId="5D15966A" w14:textId="77777777" w:rsidR="007A3165" w:rsidRPr="00172B2B" w:rsidRDefault="007A3165" w:rsidP="002D7A77">
      <w:pPr>
        <w:autoSpaceDE w:val="0"/>
        <w:autoSpaceDN w:val="0"/>
        <w:adjustRightInd w:val="0"/>
        <w:spacing w:after="0" w:line="240" w:lineRule="auto"/>
        <w:rPr>
          <w:rFonts w:ascii="Times New Roman" w:hAnsi="Times New Roman" w:cs="Times New Roman"/>
          <w:sz w:val="24"/>
          <w:szCs w:val="24"/>
        </w:rPr>
      </w:pPr>
      <w:r w:rsidRPr="00172B2B">
        <w:rPr>
          <w:rFonts w:ascii="Times New Roman" w:hAnsi="Times New Roman" w:cs="Times New Roman"/>
          <w:color w:val="000000"/>
          <w:sz w:val="24"/>
          <w:szCs w:val="24"/>
        </w:rPr>
        <w:t>2024. godine i to do 20. veljače 2024. godine.</w:t>
      </w:r>
    </w:p>
    <w:p w14:paraId="203855C6" w14:textId="77777777" w:rsidR="002D7A77" w:rsidRDefault="002D7A77" w:rsidP="002D7A77">
      <w:pPr>
        <w:autoSpaceDE w:val="0"/>
        <w:autoSpaceDN w:val="0"/>
        <w:adjustRightInd w:val="0"/>
        <w:spacing w:after="0" w:line="240" w:lineRule="auto"/>
        <w:rPr>
          <w:rFonts w:ascii="Times New Roman" w:hAnsi="Times New Roman" w:cs="Times New Roman"/>
          <w:color w:val="000000"/>
          <w:sz w:val="24"/>
          <w:szCs w:val="24"/>
        </w:rPr>
      </w:pPr>
    </w:p>
    <w:p w14:paraId="3CA86B14" w14:textId="38B3BCAD" w:rsidR="00424C68" w:rsidRPr="00424C68" w:rsidRDefault="00424C68" w:rsidP="00424C68">
      <w:pPr>
        <w:autoSpaceDE w:val="0"/>
        <w:autoSpaceDN w:val="0"/>
        <w:adjustRightInd w:val="0"/>
        <w:spacing w:after="0" w:line="240" w:lineRule="auto"/>
        <w:rPr>
          <w:rFonts w:ascii="Times New Roman" w:hAnsi="Times New Roman" w:cs="Times New Roman"/>
          <w:color w:val="000000"/>
          <w:sz w:val="24"/>
          <w:szCs w:val="24"/>
        </w:rPr>
      </w:pPr>
      <w:r w:rsidRPr="00424C68">
        <w:rPr>
          <w:rFonts w:ascii="Times New Roman" w:hAnsi="Times New Roman" w:cs="Times New Roman"/>
          <w:color w:val="000000"/>
          <w:sz w:val="24"/>
          <w:szCs w:val="24"/>
        </w:rPr>
        <w:t>L</w:t>
      </w:r>
      <w:r w:rsidRPr="00424C68">
        <w:rPr>
          <w:rFonts w:ascii="Times New Roman" w:hAnsi="Times New Roman" w:cs="Times New Roman"/>
          <w:sz w:val="24"/>
          <w:szCs w:val="24"/>
        </w:rPr>
        <w:t>imiti u apsolutnim iznosima</w:t>
      </w:r>
      <w:r>
        <w:rPr>
          <w:rFonts w:ascii="Times New Roman" w:hAnsi="Times New Roman" w:cs="Times New Roman"/>
          <w:sz w:val="24"/>
          <w:szCs w:val="24"/>
        </w:rPr>
        <w:t xml:space="preserve">, </w:t>
      </w:r>
      <w:r w:rsidRPr="00424C68">
        <w:rPr>
          <w:rFonts w:ascii="Times New Roman" w:hAnsi="Times New Roman" w:cs="Times New Roman"/>
          <w:sz w:val="24"/>
          <w:szCs w:val="24"/>
        </w:rPr>
        <w:t>odnosno visina financijskog plana po korisnicima jedinice lokalne i područne (regionalne) samouprave za sljedeću proračunsku godinu i za sljedeće dvije godine, raspoređeni na:</w:t>
      </w:r>
    </w:p>
    <w:p w14:paraId="2420A2FA" w14:textId="77777777" w:rsidR="00424C68" w:rsidRPr="00424C68" w:rsidRDefault="00424C68" w:rsidP="00424C68">
      <w:pPr>
        <w:numPr>
          <w:ilvl w:val="0"/>
          <w:numId w:val="15"/>
        </w:numPr>
        <w:spacing w:after="0" w:line="276" w:lineRule="auto"/>
        <w:ind w:left="255" w:hanging="218"/>
        <w:contextualSpacing/>
        <w:jc w:val="both"/>
        <w:rPr>
          <w:rFonts w:ascii="Times New Roman" w:hAnsi="Times New Roman" w:cs="Times New Roman"/>
          <w:sz w:val="24"/>
          <w:szCs w:val="24"/>
        </w:rPr>
      </w:pPr>
      <w:r w:rsidRPr="00424C68">
        <w:rPr>
          <w:rFonts w:ascii="Times New Roman" w:hAnsi="Times New Roman" w:cs="Times New Roman"/>
          <w:sz w:val="24"/>
          <w:szCs w:val="24"/>
        </w:rPr>
        <w:lastRenderedPageBreak/>
        <w:t xml:space="preserve">sredstva potrebna za provedbu postojećih programa, odnosno aktivnosti, koje proizlaze iz trenutno važećih propisa i </w:t>
      </w:r>
    </w:p>
    <w:p w14:paraId="131919F4" w14:textId="71C3AD37" w:rsidR="00424C68" w:rsidRDefault="00424C68" w:rsidP="00424C68">
      <w:pPr>
        <w:numPr>
          <w:ilvl w:val="0"/>
          <w:numId w:val="15"/>
        </w:numPr>
        <w:spacing w:after="0" w:line="276" w:lineRule="auto"/>
        <w:ind w:left="255" w:hanging="218"/>
        <w:contextualSpacing/>
        <w:jc w:val="both"/>
        <w:rPr>
          <w:rFonts w:ascii="Times New Roman" w:hAnsi="Times New Roman" w:cs="Times New Roman"/>
          <w:sz w:val="24"/>
          <w:szCs w:val="24"/>
        </w:rPr>
      </w:pPr>
      <w:r w:rsidRPr="00424C68">
        <w:rPr>
          <w:rFonts w:ascii="Times New Roman" w:hAnsi="Times New Roman" w:cs="Times New Roman"/>
          <w:sz w:val="24"/>
          <w:szCs w:val="24"/>
        </w:rPr>
        <w:t>sredstva potrebna za uvođenje i provedbu novih ili promjenu postojećih programa, odnosno aktivnosti</w:t>
      </w:r>
    </w:p>
    <w:p w14:paraId="34B3F9CD" w14:textId="77777777" w:rsidR="00424C68" w:rsidRDefault="00424C68" w:rsidP="00424C68">
      <w:pPr>
        <w:spacing w:after="0" w:line="276" w:lineRule="auto"/>
        <w:ind w:left="255"/>
        <w:contextualSpacing/>
        <w:jc w:val="both"/>
        <w:rPr>
          <w:rFonts w:ascii="Times New Roman" w:hAnsi="Times New Roman" w:cs="Times New Roman"/>
          <w:sz w:val="24"/>
          <w:szCs w:val="24"/>
        </w:rPr>
      </w:pPr>
    </w:p>
    <w:tbl>
      <w:tblPr>
        <w:tblStyle w:val="Reetkatablice"/>
        <w:tblW w:w="0" w:type="auto"/>
        <w:tblLook w:val="04A0" w:firstRow="1" w:lastRow="0" w:firstColumn="1" w:lastColumn="0" w:noHBand="0" w:noVBand="1"/>
      </w:tblPr>
      <w:tblGrid>
        <w:gridCol w:w="2265"/>
        <w:gridCol w:w="2265"/>
        <w:gridCol w:w="2266"/>
        <w:gridCol w:w="2266"/>
      </w:tblGrid>
      <w:tr w:rsidR="00424C68" w14:paraId="48E15281" w14:textId="77777777" w:rsidTr="00424C68">
        <w:tc>
          <w:tcPr>
            <w:tcW w:w="2265" w:type="dxa"/>
          </w:tcPr>
          <w:p w14:paraId="5D9051FE" w14:textId="48E6B2EC" w:rsidR="00424C68" w:rsidRPr="00424C68" w:rsidRDefault="00424C68" w:rsidP="00424C68">
            <w:pPr>
              <w:autoSpaceDE w:val="0"/>
              <w:autoSpaceDN w:val="0"/>
              <w:adjustRightInd w:val="0"/>
              <w:jc w:val="center"/>
              <w:rPr>
                <w:rFonts w:ascii="Times New Roman" w:hAnsi="Times New Roman" w:cs="Times New Roman"/>
                <w:b/>
                <w:bCs/>
                <w:sz w:val="24"/>
                <w:szCs w:val="24"/>
              </w:rPr>
            </w:pPr>
            <w:r w:rsidRPr="00424C68">
              <w:rPr>
                <w:rFonts w:ascii="Times New Roman" w:hAnsi="Times New Roman" w:cs="Times New Roman"/>
                <w:b/>
                <w:bCs/>
                <w:sz w:val="24"/>
                <w:szCs w:val="24"/>
              </w:rPr>
              <w:t>Proračunski korisnik</w:t>
            </w:r>
          </w:p>
        </w:tc>
        <w:tc>
          <w:tcPr>
            <w:tcW w:w="2265" w:type="dxa"/>
          </w:tcPr>
          <w:p w14:paraId="04A66713" w14:textId="02F2143D" w:rsidR="00424C68" w:rsidRPr="00424C68" w:rsidRDefault="00424C68" w:rsidP="00424C68">
            <w:pPr>
              <w:autoSpaceDE w:val="0"/>
              <w:autoSpaceDN w:val="0"/>
              <w:adjustRightInd w:val="0"/>
              <w:jc w:val="center"/>
              <w:rPr>
                <w:rFonts w:ascii="Times New Roman" w:hAnsi="Times New Roman" w:cs="Times New Roman"/>
                <w:b/>
                <w:bCs/>
                <w:sz w:val="24"/>
                <w:szCs w:val="24"/>
              </w:rPr>
            </w:pPr>
            <w:r w:rsidRPr="00424C68">
              <w:rPr>
                <w:rFonts w:ascii="Times New Roman" w:hAnsi="Times New Roman" w:cs="Times New Roman"/>
                <w:b/>
                <w:bCs/>
                <w:sz w:val="24"/>
                <w:szCs w:val="24"/>
              </w:rPr>
              <w:t>2026.</w:t>
            </w:r>
          </w:p>
        </w:tc>
        <w:tc>
          <w:tcPr>
            <w:tcW w:w="2266" w:type="dxa"/>
          </w:tcPr>
          <w:p w14:paraId="7ECD09A8" w14:textId="1BFF283A" w:rsidR="00424C68" w:rsidRPr="00424C68" w:rsidRDefault="00424C68" w:rsidP="00424C68">
            <w:pPr>
              <w:autoSpaceDE w:val="0"/>
              <w:autoSpaceDN w:val="0"/>
              <w:adjustRightInd w:val="0"/>
              <w:jc w:val="center"/>
              <w:rPr>
                <w:rFonts w:ascii="Times New Roman" w:hAnsi="Times New Roman" w:cs="Times New Roman"/>
                <w:b/>
                <w:bCs/>
                <w:sz w:val="24"/>
                <w:szCs w:val="24"/>
              </w:rPr>
            </w:pPr>
            <w:r w:rsidRPr="00424C68">
              <w:rPr>
                <w:rFonts w:ascii="Times New Roman" w:hAnsi="Times New Roman" w:cs="Times New Roman"/>
                <w:b/>
                <w:bCs/>
                <w:sz w:val="24"/>
                <w:szCs w:val="24"/>
              </w:rPr>
              <w:t>2027.</w:t>
            </w:r>
          </w:p>
        </w:tc>
        <w:tc>
          <w:tcPr>
            <w:tcW w:w="2266" w:type="dxa"/>
          </w:tcPr>
          <w:p w14:paraId="1AF8765B" w14:textId="208DBBAD" w:rsidR="00424C68" w:rsidRPr="00424C68" w:rsidRDefault="00424C68" w:rsidP="00424C68">
            <w:pPr>
              <w:autoSpaceDE w:val="0"/>
              <w:autoSpaceDN w:val="0"/>
              <w:adjustRightInd w:val="0"/>
              <w:jc w:val="center"/>
              <w:rPr>
                <w:rFonts w:ascii="Times New Roman" w:hAnsi="Times New Roman" w:cs="Times New Roman"/>
                <w:b/>
                <w:bCs/>
                <w:sz w:val="24"/>
                <w:szCs w:val="24"/>
              </w:rPr>
            </w:pPr>
            <w:r w:rsidRPr="00424C68">
              <w:rPr>
                <w:rFonts w:ascii="Times New Roman" w:hAnsi="Times New Roman" w:cs="Times New Roman"/>
                <w:b/>
                <w:bCs/>
                <w:sz w:val="24"/>
                <w:szCs w:val="24"/>
              </w:rPr>
              <w:t>2028.</w:t>
            </w:r>
          </w:p>
        </w:tc>
      </w:tr>
      <w:tr w:rsidR="00424C68" w14:paraId="5654BE69" w14:textId="77777777" w:rsidTr="00424C68">
        <w:tc>
          <w:tcPr>
            <w:tcW w:w="2265" w:type="dxa"/>
          </w:tcPr>
          <w:p w14:paraId="072709B7" w14:textId="48A03825" w:rsidR="00424C68" w:rsidRDefault="00424C68" w:rsidP="00424C68">
            <w:pPr>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Dječji vrtić Skradin</w:t>
            </w:r>
          </w:p>
        </w:tc>
        <w:tc>
          <w:tcPr>
            <w:tcW w:w="2265" w:type="dxa"/>
          </w:tcPr>
          <w:p w14:paraId="7FAC65B4" w14:textId="498A9383" w:rsidR="00424C68" w:rsidRDefault="00424C68" w:rsidP="00424C68">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481.576,00 €</w:t>
            </w:r>
          </w:p>
        </w:tc>
        <w:tc>
          <w:tcPr>
            <w:tcW w:w="2266" w:type="dxa"/>
          </w:tcPr>
          <w:p w14:paraId="13C69B63" w14:textId="773857E2" w:rsidR="00424C68" w:rsidRDefault="00424C68" w:rsidP="00424C68">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491.207,00 €</w:t>
            </w:r>
          </w:p>
        </w:tc>
        <w:tc>
          <w:tcPr>
            <w:tcW w:w="2266" w:type="dxa"/>
          </w:tcPr>
          <w:p w14:paraId="4543D525" w14:textId="453125B7" w:rsidR="00424C68" w:rsidRDefault="00601EE7" w:rsidP="00424C68">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 xml:space="preserve">501.031,00 € </w:t>
            </w:r>
          </w:p>
        </w:tc>
      </w:tr>
      <w:tr w:rsidR="00424C68" w14:paraId="6672F47C" w14:textId="77777777" w:rsidTr="00424C68">
        <w:tc>
          <w:tcPr>
            <w:tcW w:w="2265" w:type="dxa"/>
          </w:tcPr>
          <w:p w14:paraId="0C19B769" w14:textId="29267718" w:rsidR="00424C68" w:rsidRDefault="00424C68" w:rsidP="002D7A77">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Gradska knjižnica Ivan </w:t>
            </w:r>
            <w:proofErr w:type="spellStart"/>
            <w:r>
              <w:rPr>
                <w:rFonts w:ascii="Times New Roman" w:hAnsi="Times New Roman" w:cs="Times New Roman"/>
                <w:sz w:val="24"/>
                <w:szCs w:val="24"/>
              </w:rPr>
              <w:t>Pridojević</w:t>
            </w:r>
            <w:proofErr w:type="spellEnd"/>
            <w:r>
              <w:rPr>
                <w:rFonts w:ascii="Times New Roman" w:hAnsi="Times New Roman" w:cs="Times New Roman"/>
                <w:sz w:val="24"/>
                <w:szCs w:val="24"/>
              </w:rPr>
              <w:t xml:space="preserve"> </w:t>
            </w:r>
          </w:p>
        </w:tc>
        <w:tc>
          <w:tcPr>
            <w:tcW w:w="2265" w:type="dxa"/>
          </w:tcPr>
          <w:p w14:paraId="519DF4E2" w14:textId="36E19E7D" w:rsidR="00424C68" w:rsidRDefault="00424C68" w:rsidP="00424C68">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40.128,00 €</w:t>
            </w:r>
          </w:p>
        </w:tc>
        <w:tc>
          <w:tcPr>
            <w:tcW w:w="2266" w:type="dxa"/>
          </w:tcPr>
          <w:p w14:paraId="33C875B8" w14:textId="4D8E9B86" w:rsidR="00424C68" w:rsidRDefault="00424C68" w:rsidP="00424C68">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40.931,00 €</w:t>
            </w:r>
          </w:p>
        </w:tc>
        <w:tc>
          <w:tcPr>
            <w:tcW w:w="2266" w:type="dxa"/>
          </w:tcPr>
          <w:p w14:paraId="2C58D1BC" w14:textId="0EB36824" w:rsidR="00424C68" w:rsidRDefault="00424C68" w:rsidP="00424C68">
            <w:pPr>
              <w:autoSpaceDE w:val="0"/>
              <w:autoSpaceDN w:val="0"/>
              <w:adjustRightInd w:val="0"/>
              <w:jc w:val="right"/>
              <w:rPr>
                <w:rFonts w:ascii="Times New Roman" w:hAnsi="Times New Roman" w:cs="Times New Roman"/>
                <w:sz w:val="24"/>
                <w:szCs w:val="24"/>
              </w:rPr>
            </w:pPr>
            <w:r>
              <w:rPr>
                <w:rFonts w:ascii="Times New Roman" w:hAnsi="Times New Roman" w:cs="Times New Roman"/>
                <w:sz w:val="24"/>
                <w:szCs w:val="24"/>
              </w:rPr>
              <w:t>41.750,00 €</w:t>
            </w:r>
          </w:p>
        </w:tc>
      </w:tr>
    </w:tbl>
    <w:p w14:paraId="2C3F4AAC" w14:textId="77777777" w:rsidR="002D7A77" w:rsidRPr="00172B2B" w:rsidRDefault="002D7A77" w:rsidP="002D7A77">
      <w:pPr>
        <w:autoSpaceDE w:val="0"/>
        <w:autoSpaceDN w:val="0"/>
        <w:adjustRightInd w:val="0"/>
        <w:spacing w:after="0" w:line="240" w:lineRule="auto"/>
        <w:rPr>
          <w:rFonts w:ascii="Times New Roman" w:hAnsi="Times New Roman" w:cs="Times New Roman"/>
          <w:sz w:val="24"/>
          <w:szCs w:val="24"/>
        </w:rPr>
      </w:pPr>
    </w:p>
    <w:p w14:paraId="132075BD" w14:textId="77777777" w:rsidR="002D7A77" w:rsidRPr="00172B2B" w:rsidRDefault="002D7A77" w:rsidP="00172B2B">
      <w:pPr>
        <w:pStyle w:val="Odlomakpopisa"/>
        <w:numPr>
          <w:ilvl w:val="0"/>
          <w:numId w:val="7"/>
        </w:numPr>
        <w:autoSpaceDE w:val="0"/>
        <w:autoSpaceDN w:val="0"/>
        <w:adjustRightInd w:val="0"/>
        <w:spacing w:after="0" w:line="240" w:lineRule="auto"/>
        <w:rPr>
          <w:rFonts w:ascii="Times New Roman" w:hAnsi="Times New Roman" w:cs="Times New Roman"/>
          <w:b/>
          <w:bCs/>
          <w:color w:val="000000"/>
          <w:sz w:val="24"/>
          <w:szCs w:val="24"/>
        </w:rPr>
      </w:pPr>
      <w:r w:rsidRPr="00172B2B">
        <w:rPr>
          <w:rFonts w:ascii="Times New Roman" w:hAnsi="Times New Roman" w:cs="Times New Roman"/>
          <w:b/>
          <w:bCs/>
          <w:color w:val="000000"/>
          <w:sz w:val="24"/>
          <w:szCs w:val="24"/>
        </w:rPr>
        <w:t>DOSTUPNOST MATERIJALA NA MREŽNOJ STRANICI MINISTARSTVA</w:t>
      </w:r>
    </w:p>
    <w:p w14:paraId="5F51918D" w14:textId="77777777" w:rsidR="002D7A77" w:rsidRPr="00172B2B" w:rsidRDefault="002D7A77" w:rsidP="002D7A77">
      <w:pPr>
        <w:autoSpaceDE w:val="0"/>
        <w:autoSpaceDN w:val="0"/>
        <w:adjustRightInd w:val="0"/>
        <w:spacing w:after="0" w:line="240" w:lineRule="auto"/>
        <w:rPr>
          <w:rFonts w:ascii="Times New Roman" w:hAnsi="Times New Roman" w:cs="Times New Roman"/>
          <w:b/>
          <w:bCs/>
          <w:color w:val="000000"/>
          <w:sz w:val="24"/>
          <w:szCs w:val="24"/>
        </w:rPr>
      </w:pPr>
      <w:r w:rsidRPr="00172B2B">
        <w:rPr>
          <w:rFonts w:ascii="Times New Roman" w:hAnsi="Times New Roman" w:cs="Times New Roman"/>
          <w:b/>
          <w:bCs/>
          <w:color w:val="000000"/>
          <w:sz w:val="24"/>
          <w:szCs w:val="24"/>
        </w:rPr>
        <w:t>FINANCIJA</w:t>
      </w:r>
    </w:p>
    <w:p w14:paraId="5749A969" w14:textId="77777777" w:rsidR="00C11481" w:rsidRPr="00172B2B" w:rsidRDefault="00C11481" w:rsidP="002D7A77">
      <w:pPr>
        <w:autoSpaceDE w:val="0"/>
        <w:autoSpaceDN w:val="0"/>
        <w:adjustRightInd w:val="0"/>
        <w:spacing w:after="0" w:line="240" w:lineRule="auto"/>
        <w:rPr>
          <w:rFonts w:ascii="Times New Roman" w:hAnsi="Times New Roman" w:cs="Times New Roman"/>
          <w:color w:val="000000"/>
          <w:sz w:val="24"/>
          <w:szCs w:val="24"/>
        </w:rPr>
      </w:pPr>
    </w:p>
    <w:p w14:paraId="3FF4FD28" w14:textId="77777777" w:rsidR="002D7A77" w:rsidRPr="00172B2B" w:rsidRDefault="002D7A77" w:rsidP="002D7A77">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Jedinice lokalne i područne (regionalne) samouprave, kao i njihovi proračunski i</w:t>
      </w:r>
    </w:p>
    <w:p w14:paraId="34A0C378" w14:textId="77777777" w:rsidR="002D7A77" w:rsidRPr="00172B2B" w:rsidRDefault="002D7A77" w:rsidP="002D7A77">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izvanproračunski korisnici, mogu tekst ovih Uputa i priloge (tablice za izradu proračuna i</w:t>
      </w:r>
    </w:p>
    <w:p w14:paraId="1677A791" w14:textId="77777777" w:rsidR="002D7A77" w:rsidRPr="00172B2B" w:rsidRDefault="002D7A77" w:rsidP="002D7A77">
      <w:pPr>
        <w:autoSpaceDE w:val="0"/>
        <w:autoSpaceDN w:val="0"/>
        <w:adjustRightInd w:val="0"/>
        <w:spacing w:after="0" w:line="240" w:lineRule="auto"/>
        <w:rPr>
          <w:rFonts w:ascii="Times New Roman" w:hAnsi="Times New Roman" w:cs="Times New Roman"/>
          <w:color w:val="000000"/>
          <w:sz w:val="24"/>
          <w:szCs w:val="24"/>
        </w:rPr>
      </w:pPr>
      <w:r w:rsidRPr="00172B2B">
        <w:rPr>
          <w:rFonts w:ascii="Times New Roman" w:hAnsi="Times New Roman" w:cs="Times New Roman"/>
          <w:color w:val="000000"/>
          <w:sz w:val="24"/>
          <w:szCs w:val="24"/>
        </w:rPr>
        <w:t>financijskih planova proračunskih i izvanproračunskih korisnika i obrazac za sudjelovanje u</w:t>
      </w:r>
    </w:p>
    <w:p w14:paraId="07641868" w14:textId="2808F0BD" w:rsidR="002D7A77" w:rsidRPr="00172B2B" w:rsidRDefault="002D7A77" w:rsidP="002D7A77">
      <w:pPr>
        <w:autoSpaceDE w:val="0"/>
        <w:autoSpaceDN w:val="0"/>
        <w:adjustRightInd w:val="0"/>
        <w:spacing w:after="0" w:line="240" w:lineRule="auto"/>
        <w:rPr>
          <w:rFonts w:ascii="Times New Roman" w:hAnsi="Times New Roman" w:cs="Times New Roman"/>
          <w:color w:val="0000FF"/>
          <w:sz w:val="24"/>
          <w:szCs w:val="24"/>
        </w:rPr>
      </w:pPr>
      <w:r w:rsidRPr="00172B2B">
        <w:rPr>
          <w:rFonts w:ascii="Times New Roman" w:hAnsi="Times New Roman" w:cs="Times New Roman"/>
          <w:color w:val="000000"/>
          <w:sz w:val="24"/>
          <w:szCs w:val="24"/>
        </w:rPr>
        <w:t>izradi proračuna) naći na mrežnoj stranici Ministarstva financija</w:t>
      </w:r>
      <w:r w:rsidR="00C11481" w:rsidRPr="00172B2B">
        <w:rPr>
          <w:rFonts w:ascii="Times New Roman" w:hAnsi="Times New Roman" w:cs="Times New Roman"/>
          <w:color w:val="000000"/>
          <w:sz w:val="24"/>
          <w:szCs w:val="24"/>
        </w:rPr>
        <w:t xml:space="preserve"> </w:t>
      </w:r>
      <w:hyperlink r:id="rId10" w:history="1">
        <w:r w:rsidR="00375E84" w:rsidRPr="00172B2B">
          <w:rPr>
            <w:rStyle w:val="Hiperveza"/>
            <w:rFonts w:ascii="Times New Roman" w:hAnsi="Times New Roman" w:cs="Times New Roman"/>
            <w:sz w:val="24"/>
            <w:szCs w:val="24"/>
          </w:rPr>
          <w:t>https://mfin.gov.hr/istaknuteteme/lokalna-samouprava/105</w:t>
        </w:r>
      </w:hyperlink>
      <w:r w:rsidRPr="00172B2B">
        <w:rPr>
          <w:rFonts w:ascii="Times New Roman" w:hAnsi="Times New Roman" w:cs="Times New Roman"/>
          <w:color w:val="000000"/>
          <w:sz w:val="24"/>
          <w:szCs w:val="24"/>
        </w:rPr>
        <w:t>.</w:t>
      </w:r>
      <w:r w:rsidR="00375E84" w:rsidRPr="00172B2B">
        <w:rPr>
          <w:rFonts w:ascii="Times New Roman" w:hAnsi="Times New Roman" w:cs="Times New Roman"/>
          <w:color w:val="000000"/>
          <w:sz w:val="24"/>
          <w:szCs w:val="24"/>
        </w:rPr>
        <w:t xml:space="preserve"> </w:t>
      </w:r>
    </w:p>
    <w:sectPr w:rsidR="002D7A77" w:rsidRPr="00172B2B">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IDFont+F6">
    <w:altName w:val="Microsoft JhengHei"/>
    <w:panose1 w:val="00000000000000000000"/>
    <w:charset w:val="88"/>
    <w:family w:val="auto"/>
    <w:notTrueType/>
    <w:pitch w:val="default"/>
    <w:sig w:usb0="00000001" w:usb1="08080000" w:usb2="00000010" w:usb3="00000000" w:csb0="00100000" w:csb1="00000000"/>
  </w:font>
  <w:font w:name="CIDFont+F3">
    <w:altName w:val="Calibri"/>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772CB"/>
    <w:multiLevelType w:val="multilevel"/>
    <w:tmpl w:val="645A3414"/>
    <w:lvl w:ilvl="0">
      <w:start w:val="1"/>
      <w:numFmt w:val="decimal"/>
      <w:lvlText w:val="%1."/>
      <w:lvlJc w:val="left"/>
      <w:pPr>
        <w:ind w:left="862" w:hanging="720"/>
        <w:jc w:val="right"/>
      </w:pPr>
      <w:rPr>
        <w:rFonts w:ascii="Arial" w:eastAsia="Arial" w:hAnsi="Arial" w:cs="Arial" w:hint="default"/>
        <w:b/>
        <w:bCs/>
        <w:i w:val="0"/>
        <w:iCs w:val="0"/>
        <w:spacing w:val="-2"/>
        <w:w w:val="100"/>
        <w:sz w:val="22"/>
        <w:szCs w:val="22"/>
        <w:lang w:val="bs" w:eastAsia="en-US" w:bidi="ar-SA"/>
      </w:rPr>
    </w:lvl>
    <w:lvl w:ilvl="1">
      <w:start w:val="1"/>
      <w:numFmt w:val="decimal"/>
      <w:lvlText w:val="%1.%2."/>
      <w:lvlJc w:val="left"/>
      <w:pPr>
        <w:ind w:left="1202" w:hanging="634"/>
        <w:jc w:val="right"/>
      </w:pPr>
      <w:rPr>
        <w:rFonts w:ascii="Arial" w:eastAsia="Arial" w:hAnsi="Arial" w:cs="Arial" w:hint="default"/>
        <w:b/>
        <w:bCs/>
        <w:i w:val="0"/>
        <w:iCs w:val="0"/>
        <w:spacing w:val="-2"/>
        <w:w w:val="100"/>
        <w:sz w:val="22"/>
        <w:szCs w:val="22"/>
        <w:lang w:val="bs" w:eastAsia="en-US" w:bidi="ar-SA"/>
      </w:rPr>
    </w:lvl>
    <w:lvl w:ilvl="2">
      <w:start w:val="1"/>
      <w:numFmt w:val="decimal"/>
      <w:lvlText w:val="%1.%2.%3."/>
      <w:lvlJc w:val="left"/>
      <w:pPr>
        <w:ind w:left="1712" w:hanging="720"/>
      </w:pPr>
      <w:rPr>
        <w:rFonts w:ascii="Arial" w:eastAsia="Arial" w:hAnsi="Arial" w:cs="Arial" w:hint="default"/>
        <w:b/>
        <w:bCs/>
        <w:i w:val="0"/>
        <w:iCs w:val="0"/>
        <w:spacing w:val="-2"/>
        <w:w w:val="100"/>
        <w:sz w:val="22"/>
        <w:szCs w:val="22"/>
        <w:lang w:val="bs" w:eastAsia="en-US" w:bidi="ar-SA"/>
      </w:rPr>
    </w:lvl>
    <w:lvl w:ilvl="3">
      <w:numFmt w:val="bullet"/>
      <w:lvlText w:val=""/>
      <w:lvlJc w:val="left"/>
      <w:pPr>
        <w:ind w:left="1288" w:hanging="360"/>
      </w:pPr>
      <w:rPr>
        <w:rFonts w:ascii="Symbol" w:eastAsia="Symbol" w:hAnsi="Symbol" w:cs="Symbol" w:hint="default"/>
        <w:b w:val="0"/>
        <w:bCs w:val="0"/>
        <w:i w:val="0"/>
        <w:iCs w:val="0"/>
        <w:spacing w:val="0"/>
        <w:w w:val="100"/>
        <w:sz w:val="22"/>
        <w:szCs w:val="22"/>
        <w:lang w:val="bs" w:eastAsia="en-US" w:bidi="ar-SA"/>
      </w:rPr>
    </w:lvl>
    <w:lvl w:ilvl="4">
      <w:numFmt w:val="bullet"/>
      <w:lvlText w:val="•"/>
      <w:lvlJc w:val="left"/>
      <w:pPr>
        <w:ind w:left="1420" w:hanging="360"/>
      </w:pPr>
      <w:rPr>
        <w:rFonts w:hint="default"/>
        <w:lang w:val="bs" w:eastAsia="en-US" w:bidi="ar-SA"/>
      </w:rPr>
    </w:lvl>
    <w:lvl w:ilvl="5">
      <w:numFmt w:val="bullet"/>
      <w:lvlText w:val="•"/>
      <w:lvlJc w:val="left"/>
      <w:pPr>
        <w:ind w:left="2000" w:hanging="360"/>
      </w:pPr>
      <w:rPr>
        <w:rFonts w:hint="default"/>
        <w:lang w:val="bs" w:eastAsia="en-US" w:bidi="ar-SA"/>
      </w:rPr>
    </w:lvl>
    <w:lvl w:ilvl="6">
      <w:numFmt w:val="bullet"/>
      <w:lvlText w:val="•"/>
      <w:lvlJc w:val="left"/>
      <w:pPr>
        <w:ind w:left="3584" w:hanging="360"/>
      </w:pPr>
      <w:rPr>
        <w:rFonts w:hint="default"/>
        <w:lang w:val="bs" w:eastAsia="en-US" w:bidi="ar-SA"/>
      </w:rPr>
    </w:lvl>
    <w:lvl w:ilvl="7">
      <w:numFmt w:val="bullet"/>
      <w:lvlText w:val="•"/>
      <w:lvlJc w:val="left"/>
      <w:pPr>
        <w:ind w:left="5169" w:hanging="360"/>
      </w:pPr>
      <w:rPr>
        <w:rFonts w:hint="default"/>
        <w:lang w:val="bs" w:eastAsia="en-US" w:bidi="ar-SA"/>
      </w:rPr>
    </w:lvl>
    <w:lvl w:ilvl="8">
      <w:numFmt w:val="bullet"/>
      <w:lvlText w:val="•"/>
      <w:lvlJc w:val="left"/>
      <w:pPr>
        <w:ind w:left="6754" w:hanging="360"/>
      </w:pPr>
      <w:rPr>
        <w:rFonts w:hint="default"/>
        <w:lang w:val="bs" w:eastAsia="en-US" w:bidi="ar-SA"/>
      </w:rPr>
    </w:lvl>
  </w:abstractNum>
  <w:abstractNum w:abstractNumId="1" w15:restartNumberingAfterBreak="0">
    <w:nsid w:val="148275EF"/>
    <w:multiLevelType w:val="hybridMultilevel"/>
    <w:tmpl w:val="227A064C"/>
    <w:lvl w:ilvl="0" w:tplc="766ECE34">
      <w:start w:val="2024"/>
      <w:numFmt w:val="bullet"/>
      <w:lvlText w:val="-"/>
      <w:lvlJc w:val="left"/>
      <w:pPr>
        <w:ind w:left="720" w:hanging="360"/>
      </w:pPr>
      <w:rPr>
        <w:rFonts w:ascii="Calibri" w:eastAsiaTheme="minorHAnsi"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22D7572C"/>
    <w:multiLevelType w:val="hybridMultilevel"/>
    <w:tmpl w:val="39609790"/>
    <w:lvl w:ilvl="0" w:tplc="AE72F23A">
      <w:numFmt w:val="bullet"/>
      <w:lvlText w:val=""/>
      <w:lvlJc w:val="left"/>
      <w:pPr>
        <w:ind w:left="720" w:hanging="360"/>
      </w:pPr>
      <w:rPr>
        <w:rFonts w:ascii="Times New Roman" w:eastAsia="CIDFont+F6"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15:restartNumberingAfterBreak="0">
    <w:nsid w:val="2628072A"/>
    <w:multiLevelType w:val="multilevel"/>
    <w:tmpl w:val="21F62A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7F87ED8"/>
    <w:multiLevelType w:val="hybridMultilevel"/>
    <w:tmpl w:val="EA4CF448"/>
    <w:lvl w:ilvl="0" w:tplc="9E9671D4">
      <w:numFmt w:val="bullet"/>
      <w:lvlText w:val="•"/>
      <w:lvlJc w:val="left"/>
      <w:pPr>
        <w:ind w:left="644" w:hanging="360"/>
      </w:pPr>
      <w:rPr>
        <w:rFonts w:hint="default"/>
        <w:lang w:val="bs" w:eastAsia="en-US" w:bidi="ar-SA"/>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2A5A7A8B"/>
    <w:multiLevelType w:val="hybridMultilevel"/>
    <w:tmpl w:val="E7AC48E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 w15:restartNumberingAfterBreak="0">
    <w:nsid w:val="33DD74FD"/>
    <w:multiLevelType w:val="hybridMultilevel"/>
    <w:tmpl w:val="8BF0EE4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39C322D1"/>
    <w:multiLevelType w:val="hybridMultilevel"/>
    <w:tmpl w:val="79067D86"/>
    <w:lvl w:ilvl="0" w:tplc="0ABC1A04">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8" w15:restartNumberingAfterBreak="0">
    <w:nsid w:val="3FCE1607"/>
    <w:multiLevelType w:val="hybridMultilevel"/>
    <w:tmpl w:val="04EAD818"/>
    <w:lvl w:ilvl="0" w:tplc="9E9671D4">
      <w:numFmt w:val="bullet"/>
      <w:lvlText w:val="•"/>
      <w:lvlJc w:val="left"/>
      <w:pPr>
        <w:ind w:left="1571" w:hanging="360"/>
      </w:pPr>
      <w:rPr>
        <w:rFonts w:hint="default"/>
        <w:lang w:val="bs" w:eastAsia="en-US" w:bidi="ar-SA"/>
      </w:rPr>
    </w:lvl>
    <w:lvl w:ilvl="1" w:tplc="FFFFFFFF" w:tentative="1">
      <w:start w:val="1"/>
      <w:numFmt w:val="bullet"/>
      <w:lvlText w:val="o"/>
      <w:lvlJc w:val="left"/>
      <w:pPr>
        <w:ind w:left="2291" w:hanging="360"/>
      </w:pPr>
      <w:rPr>
        <w:rFonts w:ascii="Courier New" w:hAnsi="Courier New" w:cs="Courier New" w:hint="default"/>
      </w:rPr>
    </w:lvl>
    <w:lvl w:ilvl="2" w:tplc="FFFFFFFF" w:tentative="1">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9" w15:restartNumberingAfterBreak="0">
    <w:nsid w:val="42D64222"/>
    <w:multiLevelType w:val="hybridMultilevel"/>
    <w:tmpl w:val="8AE0261A"/>
    <w:lvl w:ilvl="0" w:tplc="02781814">
      <w:numFmt w:val="bullet"/>
      <w:lvlText w:val=""/>
      <w:lvlJc w:val="left"/>
      <w:pPr>
        <w:ind w:left="863" w:hanging="360"/>
      </w:pPr>
      <w:rPr>
        <w:rFonts w:ascii="Symbol" w:eastAsia="Symbol" w:hAnsi="Symbol" w:cs="Symbol" w:hint="default"/>
        <w:b w:val="0"/>
        <w:bCs w:val="0"/>
        <w:i w:val="0"/>
        <w:iCs w:val="0"/>
        <w:spacing w:val="0"/>
        <w:w w:val="100"/>
        <w:sz w:val="22"/>
        <w:szCs w:val="22"/>
        <w:lang w:val="bs" w:eastAsia="en-US" w:bidi="ar-SA"/>
      </w:rPr>
    </w:lvl>
    <w:lvl w:ilvl="1" w:tplc="18AA7BC2">
      <w:numFmt w:val="bullet"/>
      <w:lvlText w:val="•"/>
      <w:lvlJc w:val="left"/>
      <w:pPr>
        <w:ind w:left="1766" w:hanging="360"/>
      </w:pPr>
      <w:rPr>
        <w:rFonts w:hint="default"/>
        <w:lang w:val="bs" w:eastAsia="en-US" w:bidi="ar-SA"/>
      </w:rPr>
    </w:lvl>
    <w:lvl w:ilvl="2" w:tplc="609A864E">
      <w:numFmt w:val="bullet"/>
      <w:lvlText w:val="•"/>
      <w:lvlJc w:val="left"/>
      <w:pPr>
        <w:ind w:left="2672" w:hanging="360"/>
      </w:pPr>
      <w:rPr>
        <w:rFonts w:hint="default"/>
        <w:lang w:val="bs" w:eastAsia="en-US" w:bidi="ar-SA"/>
      </w:rPr>
    </w:lvl>
    <w:lvl w:ilvl="3" w:tplc="015A4A06">
      <w:numFmt w:val="bullet"/>
      <w:lvlText w:val="•"/>
      <w:lvlJc w:val="left"/>
      <w:pPr>
        <w:ind w:left="3579" w:hanging="360"/>
      </w:pPr>
      <w:rPr>
        <w:rFonts w:hint="default"/>
        <w:lang w:val="bs" w:eastAsia="en-US" w:bidi="ar-SA"/>
      </w:rPr>
    </w:lvl>
    <w:lvl w:ilvl="4" w:tplc="5A82C896">
      <w:numFmt w:val="bullet"/>
      <w:lvlText w:val="•"/>
      <w:lvlJc w:val="left"/>
      <w:pPr>
        <w:ind w:left="4485" w:hanging="360"/>
      </w:pPr>
      <w:rPr>
        <w:rFonts w:hint="default"/>
        <w:lang w:val="bs" w:eastAsia="en-US" w:bidi="ar-SA"/>
      </w:rPr>
    </w:lvl>
    <w:lvl w:ilvl="5" w:tplc="DF3CB52E">
      <w:numFmt w:val="bullet"/>
      <w:lvlText w:val="•"/>
      <w:lvlJc w:val="left"/>
      <w:pPr>
        <w:ind w:left="5391" w:hanging="360"/>
      </w:pPr>
      <w:rPr>
        <w:rFonts w:hint="default"/>
        <w:lang w:val="bs" w:eastAsia="en-US" w:bidi="ar-SA"/>
      </w:rPr>
    </w:lvl>
    <w:lvl w:ilvl="6" w:tplc="514C2212">
      <w:numFmt w:val="bullet"/>
      <w:lvlText w:val="•"/>
      <w:lvlJc w:val="left"/>
      <w:pPr>
        <w:ind w:left="6298" w:hanging="360"/>
      </w:pPr>
      <w:rPr>
        <w:rFonts w:hint="default"/>
        <w:lang w:val="bs" w:eastAsia="en-US" w:bidi="ar-SA"/>
      </w:rPr>
    </w:lvl>
    <w:lvl w:ilvl="7" w:tplc="8DCE7CD6">
      <w:numFmt w:val="bullet"/>
      <w:lvlText w:val="•"/>
      <w:lvlJc w:val="left"/>
      <w:pPr>
        <w:ind w:left="7204" w:hanging="360"/>
      </w:pPr>
      <w:rPr>
        <w:rFonts w:hint="default"/>
        <w:lang w:val="bs" w:eastAsia="en-US" w:bidi="ar-SA"/>
      </w:rPr>
    </w:lvl>
    <w:lvl w:ilvl="8" w:tplc="A1142D26">
      <w:numFmt w:val="bullet"/>
      <w:lvlText w:val="•"/>
      <w:lvlJc w:val="left"/>
      <w:pPr>
        <w:ind w:left="8110" w:hanging="360"/>
      </w:pPr>
      <w:rPr>
        <w:rFonts w:hint="default"/>
        <w:lang w:val="bs" w:eastAsia="en-US" w:bidi="ar-SA"/>
      </w:rPr>
    </w:lvl>
  </w:abstractNum>
  <w:abstractNum w:abstractNumId="10" w15:restartNumberingAfterBreak="0">
    <w:nsid w:val="4AD1036D"/>
    <w:multiLevelType w:val="hybridMultilevel"/>
    <w:tmpl w:val="24F062CE"/>
    <w:lvl w:ilvl="0" w:tplc="E6B0B118">
      <w:numFmt w:val="bullet"/>
      <w:lvlText w:val=""/>
      <w:lvlJc w:val="left"/>
      <w:pPr>
        <w:ind w:left="863" w:hanging="360"/>
      </w:pPr>
      <w:rPr>
        <w:rFonts w:ascii="Symbol" w:eastAsia="Symbol" w:hAnsi="Symbol" w:cs="Symbol" w:hint="default"/>
        <w:b w:val="0"/>
        <w:bCs w:val="0"/>
        <w:i w:val="0"/>
        <w:iCs w:val="0"/>
        <w:spacing w:val="0"/>
        <w:w w:val="100"/>
        <w:sz w:val="22"/>
        <w:szCs w:val="22"/>
        <w:lang w:val="bs" w:eastAsia="en-US" w:bidi="ar-SA"/>
      </w:rPr>
    </w:lvl>
    <w:lvl w:ilvl="1" w:tplc="845080B2">
      <w:numFmt w:val="bullet"/>
      <w:lvlText w:val=""/>
      <w:lvlJc w:val="left"/>
      <w:pPr>
        <w:ind w:left="1288" w:hanging="360"/>
      </w:pPr>
      <w:rPr>
        <w:rFonts w:ascii="Symbol" w:eastAsia="Symbol" w:hAnsi="Symbol" w:cs="Symbol" w:hint="default"/>
        <w:b w:val="0"/>
        <w:bCs w:val="0"/>
        <w:i w:val="0"/>
        <w:iCs w:val="0"/>
        <w:spacing w:val="0"/>
        <w:w w:val="100"/>
        <w:sz w:val="22"/>
        <w:szCs w:val="22"/>
        <w:lang w:val="bs" w:eastAsia="en-US" w:bidi="ar-SA"/>
      </w:rPr>
    </w:lvl>
    <w:lvl w:ilvl="2" w:tplc="9580F414">
      <w:numFmt w:val="bullet"/>
      <w:lvlText w:val="•"/>
      <w:lvlJc w:val="left"/>
      <w:pPr>
        <w:ind w:left="2240" w:hanging="360"/>
      </w:pPr>
      <w:rPr>
        <w:rFonts w:hint="default"/>
        <w:lang w:val="bs" w:eastAsia="en-US" w:bidi="ar-SA"/>
      </w:rPr>
    </w:lvl>
    <w:lvl w:ilvl="3" w:tplc="4D841002">
      <w:numFmt w:val="bullet"/>
      <w:lvlText w:val="•"/>
      <w:lvlJc w:val="left"/>
      <w:pPr>
        <w:ind w:left="3200" w:hanging="360"/>
      </w:pPr>
      <w:rPr>
        <w:rFonts w:hint="default"/>
        <w:lang w:val="bs" w:eastAsia="en-US" w:bidi="ar-SA"/>
      </w:rPr>
    </w:lvl>
    <w:lvl w:ilvl="4" w:tplc="73C4BF7A">
      <w:numFmt w:val="bullet"/>
      <w:lvlText w:val="•"/>
      <w:lvlJc w:val="left"/>
      <w:pPr>
        <w:ind w:left="4161" w:hanging="360"/>
      </w:pPr>
      <w:rPr>
        <w:rFonts w:hint="default"/>
        <w:lang w:val="bs" w:eastAsia="en-US" w:bidi="ar-SA"/>
      </w:rPr>
    </w:lvl>
    <w:lvl w:ilvl="5" w:tplc="51780304">
      <w:numFmt w:val="bullet"/>
      <w:lvlText w:val="•"/>
      <w:lvlJc w:val="left"/>
      <w:pPr>
        <w:ind w:left="5121" w:hanging="360"/>
      </w:pPr>
      <w:rPr>
        <w:rFonts w:hint="default"/>
        <w:lang w:val="bs" w:eastAsia="en-US" w:bidi="ar-SA"/>
      </w:rPr>
    </w:lvl>
    <w:lvl w:ilvl="6" w:tplc="2092E178">
      <w:numFmt w:val="bullet"/>
      <w:lvlText w:val="•"/>
      <w:lvlJc w:val="left"/>
      <w:pPr>
        <w:ind w:left="6081" w:hanging="360"/>
      </w:pPr>
      <w:rPr>
        <w:rFonts w:hint="default"/>
        <w:lang w:val="bs" w:eastAsia="en-US" w:bidi="ar-SA"/>
      </w:rPr>
    </w:lvl>
    <w:lvl w:ilvl="7" w:tplc="785A7A3E">
      <w:numFmt w:val="bullet"/>
      <w:lvlText w:val="•"/>
      <w:lvlJc w:val="left"/>
      <w:pPr>
        <w:ind w:left="7042" w:hanging="360"/>
      </w:pPr>
      <w:rPr>
        <w:rFonts w:hint="default"/>
        <w:lang w:val="bs" w:eastAsia="en-US" w:bidi="ar-SA"/>
      </w:rPr>
    </w:lvl>
    <w:lvl w:ilvl="8" w:tplc="1B2CD77C">
      <w:numFmt w:val="bullet"/>
      <w:lvlText w:val="•"/>
      <w:lvlJc w:val="left"/>
      <w:pPr>
        <w:ind w:left="8002" w:hanging="360"/>
      </w:pPr>
      <w:rPr>
        <w:rFonts w:hint="default"/>
        <w:lang w:val="bs" w:eastAsia="en-US" w:bidi="ar-SA"/>
      </w:rPr>
    </w:lvl>
  </w:abstractNum>
  <w:abstractNum w:abstractNumId="11" w15:restartNumberingAfterBreak="0">
    <w:nsid w:val="50F04F78"/>
    <w:multiLevelType w:val="multilevel"/>
    <w:tmpl w:val="21F62A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59AB3C07"/>
    <w:multiLevelType w:val="hybridMultilevel"/>
    <w:tmpl w:val="42C619A4"/>
    <w:lvl w:ilvl="0" w:tplc="041A0001">
      <w:start w:val="1"/>
      <w:numFmt w:val="bullet"/>
      <w:lvlText w:val=""/>
      <w:lvlJc w:val="left"/>
      <w:pPr>
        <w:ind w:left="2160" w:hanging="360"/>
      </w:pPr>
      <w:rPr>
        <w:rFonts w:ascii="Symbol" w:hAnsi="Symbol" w:hint="default"/>
      </w:rPr>
    </w:lvl>
    <w:lvl w:ilvl="1" w:tplc="041A0003" w:tentative="1">
      <w:start w:val="1"/>
      <w:numFmt w:val="bullet"/>
      <w:lvlText w:val="o"/>
      <w:lvlJc w:val="left"/>
      <w:pPr>
        <w:ind w:left="2880" w:hanging="360"/>
      </w:pPr>
      <w:rPr>
        <w:rFonts w:ascii="Courier New" w:hAnsi="Courier New" w:cs="Courier New" w:hint="default"/>
      </w:rPr>
    </w:lvl>
    <w:lvl w:ilvl="2" w:tplc="041A0005" w:tentative="1">
      <w:start w:val="1"/>
      <w:numFmt w:val="bullet"/>
      <w:lvlText w:val=""/>
      <w:lvlJc w:val="left"/>
      <w:pPr>
        <w:ind w:left="3600" w:hanging="360"/>
      </w:pPr>
      <w:rPr>
        <w:rFonts w:ascii="Wingdings" w:hAnsi="Wingdings" w:hint="default"/>
      </w:rPr>
    </w:lvl>
    <w:lvl w:ilvl="3" w:tplc="041A0001" w:tentative="1">
      <w:start w:val="1"/>
      <w:numFmt w:val="bullet"/>
      <w:lvlText w:val=""/>
      <w:lvlJc w:val="left"/>
      <w:pPr>
        <w:ind w:left="4320" w:hanging="360"/>
      </w:pPr>
      <w:rPr>
        <w:rFonts w:ascii="Symbol" w:hAnsi="Symbol" w:hint="default"/>
      </w:rPr>
    </w:lvl>
    <w:lvl w:ilvl="4" w:tplc="041A0003" w:tentative="1">
      <w:start w:val="1"/>
      <w:numFmt w:val="bullet"/>
      <w:lvlText w:val="o"/>
      <w:lvlJc w:val="left"/>
      <w:pPr>
        <w:ind w:left="5040" w:hanging="360"/>
      </w:pPr>
      <w:rPr>
        <w:rFonts w:ascii="Courier New" w:hAnsi="Courier New" w:cs="Courier New" w:hint="default"/>
      </w:rPr>
    </w:lvl>
    <w:lvl w:ilvl="5" w:tplc="041A0005" w:tentative="1">
      <w:start w:val="1"/>
      <w:numFmt w:val="bullet"/>
      <w:lvlText w:val=""/>
      <w:lvlJc w:val="left"/>
      <w:pPr>
        <w:ind w:left="5760" w:hanging="360"/>
      </w:pPr>
      <w:rPr>
        <w:rFonts w:ascii="Wingdings" w:hAnsi="Wingdings" w:hint="default"/>
      </w:rPr>
    </w:lvl>
    <w:lvl w:ilvl="6" w:tplc="041A0001" w:tentative="1">
      <w:start w:val="1"/>
      <w:numFmt w:val="bullet"/>
      <w:lvlText w:val=""/>
      <w:lvlJc w:val="left"/>
      <w:pPr>
        <w:ind w:left="6480" w:hanging="360"/>
      </w:pPr>
      <w:rPr>
        <w:rFonts w:ascii="Symbol" w:hAnsi="Symbol" w:hint="default"/>
      </w:rPr>
    </w:lvl>
    <w:lvl w:ilvl="7" w:tplc="041A0003" w:tentative="1">
      <w:start w:val="1"/>
      <w:numFmt w:val="bullet"/>
      <w:lvlText w:val="o"/>
      <w:lvlJc w:val="left"/>
      <w:pPr>
        <w:ind w:left="7200" w:hanging="360"/>
      </w:pPr>
      <w:rPr>
        <w:rFonts w:ascii="Courier New" w:hAnsi="Courier New" w:cs="Courier New" w:hint="default"/>
      </w:rPr>
    </w:lvl>
    <w:lvl w:ilvl="8" w:tplc="041A0005" w:tentative="1">
      <w:start w:val="1"/>
      <w:numFmt w:val="bullet"/>
      <w:lvlText w:val=""/>
      <w:lvlJc w:val="left"/>
      <w:pPr>
        <w:ind w:left="7920" w:hanging="360"/>
      </w:pPr>
      <w:rPr>
        <w:rFonts w:ascii="Wingdings" w:hAnsi="Wingdings" w:hint="default"/>
      </w:rPr>
    </w:lvl>
  </w:abstractNum>
  <w:abstractNum w:abstractNumId="13" w15:restartNumberingAfterBreak="0">
    <w:nsid w:val="6A5875DD"/>
    <w:multiLevelType w:val="hybridMultilevel"/>
    <w:tmpl w:val="04C41560"/>
    <w:lvl w:ilvl="0" w:tplc="26981CF4">
      <w:start w:val="2024"/>
      <w:numFmt w:val="bullet"/>
      <w:lvlText w:val="-"/>
      <w:lvlJc w:val="left"/>
      <w:pPr>
        <w:ind w:left="720" w:hanging="360"/>
      </w:pPr>
      <w:rPr>
        <w:rFonts w:ascii="CIDFont+F3" w:eastAsiaTheme="minorHAnsi" w:hAnsi="CIDFont+F3" w:cs="CIDFont+F3"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7A3D529E"/>
    <w:multiLevelType w:val="hybridMultilevel"/>
    <w:tmpl w:val="A7E442D8"/>
    <w:lvl w:ilvl="0" w:tplc="041A000F">
      <w:start w:val="1"/>
      <w:numFmt w:val="decimal"/>
      <w:lvlText w:val="%1."/>
      <w:lvlJc w:val="left"/>
      <w:pPr>
        <w:ind w:left="720" w:hanging="360"/>
      </w:pPr>
      <w:rPr>
        <w:rFonts w:hint="default"/>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16cid:durableId="534774810">
    <w:abstractNumId w:val="1"/>
  </w:num>
  <w:num w:numId="2" w16cid:durableId="1513104839">
    <w:abstractNumId w:val="13"/>
  </w:num>
  <w:num w:numId="3" w16cid:durableId="1810054812">
    <w:abstractNumId w:val="3"/>
  </w:num>
  <w:num w:numId="4" w16cid:durableId="1964847361">
    <w:abstractNumId w:val="11"/>
  </w:num>
  <w:num w:numId="5" w16cid:durableId="1790004450">
    <w:abstractNumId w:val="5"/>
  </w:num>
  <w:num w:numId="6" w16cid:durableId="1893154375">
    <w:abstractNumId w:val="2"/>
  </w:num>
  <w:num w:numId="7" w16cid:durableId="1708027699">
    <w:abstractNumId w:val="14"/>
  </w:num>
  <w:num w:numId="8" w16cid:durableId="537133898">
    <w:abstractNumId w:val="0"/>
  </w:num>
  <w:num w:numId="9" w16cid:durableId="1706054586">
    <w:abstractNumId w:val="9"/>
  </w:num>
  <w:num w:numId="10" w16cid:durableId="1741362464">
    <w:abstractNumId w:val="4"/>
  </w:num>
  <w:num w:numId="11" w16cid:durableId="997228205">
    <w:abstractNumId w:val="8"/>
  </w:num>
  <w:num w:numId="12" w16cid:durableId="1298880096">
    <w:abstractNumId w:val="10"/>
  </w:num>
  <w:num w:numId="13" w16cid:durableId="503933193">
    <w:abstractNumId w:val="12"/>
  </w:num>
  <w:num w:numId="14" w16cid:durableId="1012880180">
    <w:abstractNumId w:val="6"/>
  </w:num>
  <w:num w:numId="15" w16cid:durableId="123293228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5F56"/>
    <w:rsid w:val="00005F56"/>
    <w:rsid w:val="00172B2B"/>
    <w:rsid w:val="00181F51"/>
    <w:rsid w:val="001A10EE"/>
    <w:rsid w:val="002B2047"/>
    <w:rsid w:val="002D7A77"/>
    <w:rsid w:val="00375E84"/>
    <w:rsid w:val="003F4BAD"/>
    <w:rsid w:val="00424C68"/>
    <w:rsid w:val="00457294"/>
    <w:rsid w:val="005E0BEF"/>
    <w:rsid w:val="00601EE7"/>
    <w:rsid w:val="00660B55"/>
    <w:rsid w:val="007838A1"/>
    <w:rsid w:val="007A3165"/>
    <w:rsid w:val="00B919D4"/>
    <w:rsid w:val="00C11481"/>
    <w:rsid w:val="00CF2968"/>
    <w:rsid w:val="00DB045C"/>
    <w:rsid w:val="00E16180"/>
    <w:rsid w:val="00F50EBC"/>
    <w:rsid w:val="00F64BE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4C7F6"/>
  <w15:chartTrackingRefBased/>
  <w15:docId w15:val="{C0EE715B-9FC8-42B3-A447-7D11E4E5C2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1"/>
    <w:qFormat/>
    <w:rsid w:val="00005F56"/>
    <w:pPr>
      <w:ind w:left="720"/>
      <w:contextualSpacing/>
    </w:pPr>
  </w:style>
  <w:style w:type="character" w:styleId="Hiperveza">
    <w:name w:val="Hyperlink"/>
    <w:basedOn w:val="Zadanifontodlomka"/>
    <w:uiPriority w:val="99"/>
    <w:unhideWhenUsed/>
    <w:rsid w:val="002D7A77"/>
    <w:rPr>
      <w:color w:val="0563C1" w:themeColor="hyperlink"/>
      <w:u w:val="single"/>
    </w:rPr>
  </w:style>
  <w:style w:type="character" w:styleId="Nerijeenospominjanje">
    <w:name w:val="Unresolved Mention"/>
    <w:basedOn w:val="Zadanifontodlomka"/>
    <w:uiPriority w:val="99"/>
    <w:semiHidden/>
    <w:unhideWhenUsed/>
    <w:rsid w:val="002D7A77"/>
    <w:rPr>
      <w:color w:val="605E5C"/>
      <w:shd w:val="clear" w:color="auto" w:fill="E1DFDD"/>
    </w:rPr>
  </w:style>
  <w:style w:type="table" w:styleId="Reetkatablice">
    <w:name w:val="Table Grid"/>
    <w:basedOn w:val="Obinatablica"/>
    <w:uiPriority w:val="39"/>
    <w:rsid w:val="00424C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fontTable" Target="fontTable.xml"/><Relationship Id="rId5" Type="http://schemas.openxmlformats.org/officeDocument/2006/relationships/image" Target="media/image1.wmf"/><Relationship Id="rId10" Type="http://schemas.openxmlformats.org/officeDocument/2006/relationships/hyperlink" Target="https://mfin.gov.hr/istaknuteteme/lokalna-samouprava/105" TargetMode="External"/><Relationship Id="rId4" Type="http://schemas.openxmlformats.org/officeDocument/2006/relationships/webSettings" Target="webSettings.xml"/><Relationship Id="rId9" Type="http://schemas.openxmlformats.org/officeDocument/2006/relationships/hyperlink" Target="https://narodnenovine"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10</Pages>
  <Words>2883</Words>
  <Characters>16439</Characters>
  <Application>Microsoft Office Word</Application>
  <DocSecurity>0</DocSecurity>
  <Lines>136</Lines>
  <Paragraphs>38</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korisnik</dc:creator>
  <cp:keywords/>
  <dc:description/>
  <cp:lastModifiedBy>Korisnik</cp:lastModifiedBy>
  <cp:revision>3</cp:revision>
  <dcterms:created xsi:type="dcterms:W3CDTF">2026-03-03T10:45:00Z</dcterms:created>
  <dcterms:modified xsi:type="dcterms:W3CDTF">2026-05-14T10:03:00Z</dcterms:modified>
</cp:coreProperties>
</file>